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B7E4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56B3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МЧС России от 21.11.2012 N 693</w:t>
            </w:r>
            <w:r>
              <w:rPr>
                <w:sz w:val="48"/>
                <w:szCs w:val="48"/>
              </w:rPr>
              <w:br/>
              <w:t>(ред. от 23.10.2013)</w:t>
            </w:r>
            <w:r>
              <w:rPr>
                <w:sz w:val="48"/>
                <w:szCs w:val="48"/>
              </w:rPr>
              <w:br/>
              <w:t>"Об утверждении свода правил "Системы противопожарной защиты. Обеспечение огнестойкости объектов защиты"</w:t>
            </w:r>
            <w:r>
              <w:rPr>
                <w:sz w:val="48"/>
                <w:szCs w:val="48"/>
              </w:rPr>
              <w:br/>
              <w:t>(вместе с "СП 2.13130.2012. Свод правил...")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56B3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5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56B3B">
      <w:pPr>
        <w:pStyle w:val="ConsPlusNormal"/>
        <w:jc w:val="both"/>
        <w:outlineLvl w:val="0"/>
      </w:pPr>
    </w:p>
    <w:p w:rsidR="00000000" w:rsidRDefault="00B56B3B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000000" w:rsidRDefault="00B56B3B">
      <w:pPr>
        <w:pStyle w:val="ConsPlusTitle"/>
        <w:jc w:val="center"/>
      </w:pPr>
      <w:r>
        <w:t>ОБОРОНЫ, ЧРЕЗВЫЧАЙНЫМ СИТУАЦИЯМ И ЛИКВИДАЦИИ</w:t>
      </w:r>
    </w:p>
    <w:p w:rsidR="00000000" w:rsidRDefault="00B56B3B">
      <w:pPr>
        <w:pStyle w:val="ConsPlusTitle"/>
        <w:jc w:val="center"/>
      </w:pPr>
      <w:r>
        <w:t>ПОСЛЕДСТВИЙ СТИХИЙНЫХ БЕДСТВИЙ</w:t>
      </w:r>
    </w:p>
    <w:p w:rsidR="00000000" w:rsidRDefault="00B56B3B">
      <w:pPr>
        <w:pStyle w:val="ConsPlusTitle"/>
        <w:jc w:val="center"/>
      </w:pPr>
    </w:p>
    <w:p w:rsidR="00000000" w:rsidRDefault="00B56B3B">
      <w:pPr>
        <w:pStyle w:val="ConsPlusTitle"/>
        <w:jc w:val="center"/>
      </w:pPr>
      <w:r>
        <w:t>ПРИКАЗ</w:t>
      </w:r>
    </w:p>
    <w:p w:rsidR="00000000" w:rsidRDefault="00B56B3B">
      <w:pPr>
        <w:pStyle w:val="ConsPlusTitle"/>
        <w:jc w:val="center"/>
      </w:pPr>
      <w:r>
        <w:t>от 21 ноября 2012 г. N 693</w:t>
      </w:r>
    </w:p>
    <w:p w:rsidR="00000000" w:rsidRDefault="00B56B3B">
      <w:pPr>
        <w:pStyle w:val="ConsPlusTitle"/>
        <w:jc w:val="center"/>
      </w:pPr>
    </w:p>
    <w:p w:rsidR="00000000" w:rsidRDefault="00B56B3B">
      <w:pPr>
        <w:pStyle w:val="ConsPlusTitle"/>
        <w:jc w:val="center"/>
      </w:pPr>
      <w:r>
        <w:t>ОБ УТВЕРЖДЕНИИ СВОДА ПРАВИЛ</w:t>
      </w:r>
    </w:p>
    <w:p w:rsidR="00000000" w:rsidRDefault="00B56B3B">
      <w:pPr>
        <w:pStyle w:val="ConsPlusTitle"/>
        <w:jc w:val="center"/>
      </w:pPr>
      <w:r>
        <w:t>"СИСТЕМЫ ПРОТИВОПОЖАРНОЙ ЗАЩИТЫ. ОБЕСПЕЧЕНИЕ ОГНЕСТОЙКОСТИ</w:t>
      </w:r>
    </w:p>
    <w:p w:rsidR="00000000" w:rsidRDefault="00B56B3B">
      <w:pPr>
        <w:pStyle w:val="ConsPlusTitle"/>
        <w:jc w:val="center"/>
      </w:pPr>
      <w:r>
        <w:t>ОБЪЕКТОВ ЗАЩИТЫ"</w:t>
      </w:r>
    </w:p>
    <w:p w:rsidR="00000000" w:rsidRDefault="00B56B3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56B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56B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 утв. Приказом МЧС России</w:t>
            </w:r>
          </w:p>
          <w:p w:rsidR="00000000" w:rsidRDefault="00B56B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23.10.2013 N 678)</w:t>
            </w:r>
          </w:p>
        </w:tc>
      </w:tr>
    </w:tbl>
    <w:p w:rsidR="00000000" w:rsidRDefault="00B56B3B">
      <w:pPr>
        <w:pStyle w:val="ConsPlusNormal"/>
        <w:jc w:val="center"/>
      </w:pPr>
    </w:p>
    <w:p w:rsidR="00000000" w:rsidRDefault="00B56B3B">
      <w:pPr>
        <w:pStyle w:val="ConsPlusNormal"/>
        <w:ind w:firstLine="540"/>
        <w:jc w:val="both"/>
      </w:pPr>
      <w:r>
        <w:t>В соответствии с Федеральным законом от 22 июля 2008 г. N 123-ФЗ "Технический регламент о требованиях пожарной безопасности" (Собрание законодательства Российской Федерации, 2008, N 30 (ч. I), ст. 3579; 2012, N 29, ст. 3997), Указом Президента Российской Ф</w:t>
      </w:r>
      <w:r>
        <w:t>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</w:t>
      </w:r>
      <w:r>
        <w:t>, ст. 4376; 2008, N 17, ст. 1814, N 43, ст. 4921, N 47, ст. 5431; 2009, N 22, ст. 2697, N 51, ст. 6285; 2010, N 19, ст. 2301, N 20, ст. 2435, N 51 (ч. III), ст. 6903; 2011, N 1, ст. 193, ст. 194, N 2, ст. 267, N 40, ст. 5532; 2012, N 2, ст. 243, N 6, ст. 6</w:t>
      </w:r>
      <w:r>
        <w:t>43, N 19, ст. 2329), постановлением Правительства Российской Федерации от 19 ноября 2008 г. N 858 "О порядке разработки и утверждения сводов правил" (Собрание законодательства Российской Федерации, 2008, N 48, ст. 5608) и в целях обеспечения соответствия о</w:t>
      </w:r>
      <w:r>
        <w:t>тдельных положений (требований, показателей) свода правил интересам национальной экономики, состоянию материально-технической базы и научному прогрессу приказываю: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декабря 2012 г. прилагаемый </w:t>
      </w:r>
      <w:hyperlink w:anchor="Par34" w:tooltip="СВОД ПРАВИЛ" w:history="1">
        <w:r>
          <w:rPr>
            <w:color w:val="0000FF"/>
          </w:rPr>
          <w:t>свод правил</w:t>
        </w:r>
      </w:hyperlink>
      <w:r>
        <w:t xml:space="preserve"> "Системы противопожарной защиты. Обеспечение огнестойкости объектов защиты".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2. Признать утратившим силу с 1 декабря 2012 г. приказ МЧС России от 25.03.2009 N 172 "Об утверждении свода правил "Системы противопожарной защиты. Обеспеч</w:t>
      </w:r>
      <w:r>
        <w:t>ение огнестойкости объектов защиты".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right"/>
      </w:pPr>
      <w:r>
        <w:t>Министр</w:t>
      </w:r>
    </w:p>
    <w:p w:rsidR="00000000" w:rsidRDefault="00B56B3B">
      <w:pPr>
        <w:pStyle w:val="ConsPlusNormal"/>
        <w:jc w:val="right"/>
      </w:pPr>
      <w:r>
        <w:t>В.А.ПУЧКОВ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right"/>
        <w:outlineLvl w:val="0"/>
      </w:pPr>
      <w:r>
        <w:t>Утвержден</w:t>
      </w:r>
    </w:p>
    <w:p w:rsidR="00000000" w:rsidRDefault="00B56B3B">
      <w:pPr>
        <w:pStyle w:val="ConsPlusNormal"/>
        <w:jc w:val="right"/>
      </w:pPr>
      <w:r>
        <w:lastRenderedPageBreak/>
        <w:t>приказом МЧС России</w:t>
      </w:r>
    </w:p>
    <w:p w:rsidR="00000000" w:rsidRDefault="00B56B3B">
      <w:pPr>
        <w:pStyle w:val="ConsPlusNormal"/>
        <w:jc w:val="right"/>
      </w:pPr>
      <w:r>
        <w:t>от 21.11.2012 N 693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00000" w:rsidRDefault="00B56B3B">
      <w:pPr>
        <w:pStyle w:val="ConsPlusTitle"/>
        <w:jc w:val="center"/>
      </w:pPr>
      <w:r>
        <w:t>ОБОРОНЫ, ЧРЕЗВЫЧАЙНЫМ СИТУАЦИЯМ И ЛИКВИДАЦИИ</w:t>
      </w:r>
    </w:p>
    <w:p w:rsidR="00000000" w:rsidRDefault="00B56B3B">
      <w:pPr>
        <w:pStyle w:val="ConsPlusTitle"/>
        <w:jc w:val="center"/>
      </w:pPr>
      <w:r>
        <w:t>ПОСЛЕДСТВИЙ СТИХИЙНЫХ БЕДСТВИЙ</w:t>
      </w:r>
    </w:p>
    <w:p w:rsidR="00000000" w:rsidRDefault="00B56B3B">
      <w:pPr>
        <w:pStyle w:val="ConsPlusTitle"/>
        <w:jc w:val="center"/>
      </w:pPr>
    </w:p>
    <w:p w:rsidR="00000000" w:rsidRDefault="00B56B3B">
      <w:pPr>
        <w:pStyle w:val="ConsPlusTitle"/>
        <w:jc w:val="center"/>
      </w:pPr>
      <w:bookmarkStart w:id="1" w:name="Par34"/>
      <w:bookmarkEnd w:id="1"/>
      <w:r>
        <w:t>СВОД ПРАВИЛ</w:t>
      </w:r>
    </w:p>
    <w:p w:rsidR="00000000" w:rsidRDefault="00B56B3B">
      <w:pPr>
        <w:pStyle w:val="ConsPlusTitle"/>
        <w:jc w:val="center"/>
      </w:pPr>
    </w:p>
    <w:p w:rsidR="00000000" w:rsidRDefault="00B56B3B">
      <w:pPr>
        <w:pStyle w:val="ConsPlusTitle"/>
        <w:jc w:val="center"/>
      </w:pPr>
      <w:r>
        <w:t>СП 2.13130.2012</w:t>
      </w:r>
    </w:p>
    <w:p w:rsidR="00000000" w:rsidRDefault="00B56B3B">
      <w:pPr>
        <w:pStyle w:val="ConsPlusTitle"/>
        <w:jc w:val="center"/>
      </w:pPr>
    </w:p>
    <w:p w:rsidR="00000000" w:rsidRDefault="00B56B3B">
      <w:pPr>
        <w:pStyle w:val="ConsPlusTitle"/>
        <w:jc w:val="center"/>
      </w:pPr>
      <w:r>
        <w:t>СИСТЕМЫ ПРОТИВОПОЖАРНОЙ ЗАЩИТЫ</w:t>
      </w:r>
    </w:p>
    <w:p w:rsidR="00000000" w:rsidRDefault="00B56B3B">
      <w:pPr>
        <w:pStyle w:val="ConsPlusTitle"/>
        <w:jc w:val="center"/>
      </w:pPr>
    </w:p>
    <w:p w:rsidR="00000000" w:rsidRDefault="00B56B3B">
      <w:pPr>
        <w:pStyle w:val="ConsPlusTitle"/>
        <w:jc w:val="center"/>
      </w:pPr>
      <w:r>
        <w:t>ОБЕСПЕЧЕНИЕ ОГНЕСТОЙКОСТИ ОБЪЕКТОВ ЗАЩИТЫ</w:t>
      </w:r>
    </w:p>
    <w:p w:rsidR="00000000" w:rsidRDefault="00B56B3B">
      <w:pPr>
        <w:pStyle w:val="ConsPlusTitle"/>
        <w:jc w:val="center"/>
      </w:pPr>
    </w:p>
    <w:p w:rsidR="00000000" w:rsidRDefault="00B56B3B">
      <w:pPr>
        <w:pStyle w:val="ConsPlusTitle"/>
        <w:jc w:val="center"/>
      </w:pPr>
      <w:r>
        <w:t>SYSTEMS OF FIRE PROTECTION.</w:t>
      </w:r>
    </w:p>
    <w:p w:rsidR="00000000" w:rsidRDefault="00B56B3B">
      <w:pPr>
        <w:pStyle w:val="ConsPlusTitle"/>
        <w:jc w:val="center"/>
      </w:pPr>
      <w:r>
        <w:t>FIRE-RESISTANCE SECURITY OF PROTECTING UNITS</w:t>
      </w:r>
    </w:p>
    <w:p w:rsidR="00000000" w:rsidRDefault="00B56B3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56B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56B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Изменения N 1, утв. Приказом МЧС России</w:t>
            </w:r>
          </w:p>
          <w:p w:rsidR="00000000" w:rsidRDefault="00B56B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23.10.2013 N 678)</w:t>
            </w:r>
          </w:p>
        </w:tc>
      </w:tr>
    </w:tbl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center"/>
        <w:outlineLvl w:val="1"/>
      </w:pPr>
      <w:r>
        <w:t>Предисловие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Цели и принципы стандартизации в Российской Федерации, правила применения сводов правил установлены Федеральным законом от 27 декабря 2002 г. N 184-ФЗ "О техническом регулировании".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Применение настоящего свода правил обеспечивает соблюдение требований к огнестойкости объектов защиты, установленных Федеральным законом от 22 июля 2008 г. N 123-ФЗ "Технический регламент о требованиях пожарной безопасности".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1"/>
      </w:pPr>
      <w:r>
        <w:t>Сведения о своде правил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1. Р</w:t>
      </w:r>
      <w:r>
        <w:t>АЗРАБОТАН И ВНЕСЕН федеральным государственным бюджетным учреждением "Всероссийский ордена "Знак Почета" научно-исследовательский институт противопожарной обороны" (ФГБУ ВНИИПО МЧС России)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2. УТВЕРЖДЕН И ВВЕДЕН В ДЕЙСТВИЕ Приказом Министерства Российской Ф</w:t>
      </w:r>
      <w:r>
        <w:t>едерации по делам гражданской обороны, чрезвычайным ситуациям и ликвидации последствий стихийных бедствий (МЧС России) от 21 ноября 2012 г. N 693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3. ЗАРЕГИСТРИРОВАН Федеральным агентством по техническому регулированию и метрологии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4. ВЗАМЕН СП 2.13130.2009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right"/>
      </w:pPr>
      <w:r>
        <w:lastRenderedPageBreak/>
        <w:t>Дата введения - 2012-12-01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1.1. Настоящий свод правил устанавливает общие требования по обеспечению огнестойкости объектов защиты, в том числе зданий, сооружений и пожарных отсеков.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1.2. Настоящий свод правил применяется на этапах</w:t>
      </w:r>
      <w:r>
        <w:t xml:space="preserve"> проектирования, строительства, капитального ремонта и реконструкции, при иных работах, связанных с полной или частичной заменой строительных конструкций, заменой заполнений проемов в строительных конструкциях с нормируемыми пределами огнестойкости, а такж</w:t>
      </w:r>
      <w:r>
        <w:t>е в случае изменения класса функциональной пожарной опасности объектов защиты.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стандарты и своды правил: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Р 53292-2009 Огнезащитные составы и вещества для дре</w:t>
      </w:r>
      <w:r>
        <w:t>весины и материалов на ее основе. Общие требования. Методы испытаний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Р 53295-2009 Средства огнезащиты для стальных конструкций. Общие требования. Метод определения огнезащитной эффективности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Р 53298-2009 Потолки подвесные. Метод испытания на огнестойкость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Р 53299-2009 Воздуховоды. Метод испытаний на огнестойкость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Р 53306-2009 Узлы пересечения ограждающих строительных конструкций трубопроводами из полимерных материалов. Метод исп</w:t>
      </w:r>
      <w:r>
        <w:t>ытания на огнестойкость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Р 53307-2009 Конструкции строительные. Противопожарные двери и ворота. Метод испытаний на огнестойкость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Р 53308-2009 Конструкции строительные. Светопрозрачные ограждающие конструкции и заполнения проемов. Метод испытаний н</w:t>
      </w:r>
      <w:r>
        <w:t>а огнестойкость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Р 53309-2009 Здания и фрагменты зданий. Метод натурных огневых испытаний. Общие требования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Р 53310-2009 Проходки кабельные, вводы герметичные и проходы шинопроводов. Требования пожарной безопасности. Методы испытаний на огнестойко</w:t>
      </w:r>
      <w:r>
        <w:t>сть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30247.0-94 Конструкции строительные. Методы испытаний на огнестойкость. Общие требования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30247.1-94 Конструкции строительные. Методы испытаний на огнестойкость. Несущие и ограждающие конструкции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lastRenderedPageBreak/>
        <w:t>ГОСТ 30247.3-2002 Конструкции строительные. Мет</w:t>
      </w:r>
      <w:r>
        <w:t>оды испытаний на огнестойкость. Двери шахт лифтов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30403-96 Конструкции строительные. Метод определения пожарной опасности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31251-2008 Конструкции строительные. Методы определения пожарной опасности. Стены наружные с внешней стороны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ГОСТ 51136-2008</w:t>
      </w:r>
      <w:r>
        <w:t xml:space="preserve"> Стекла защитные многослойные. Общие технические условия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СП 1.13130-2009 Системы противопожарной защиты. Эвакуационные пути и выходы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СП 4.13130.2009 Системы противопожарной защиты. Ограничение распространения пожара на объектах защиты. Требования к объемно</w:t>
      </w:r>
      <w:r>
        <w:t>-планировочным и конструктивным решениям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СП 5.13130.2009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СП 7.13130.2009 Отопление, вентиляция и кондиционирование. Противопожарн</w:t>
      </w:r>
      <w:r>
        <w:t>ые требования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СП 12.13130.2009 Определение категорий помещений, зданий и наружных установок по взрывопожарной и пожарной опасности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СП 14.13330.2011 Строительство в сейсмических районах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Примечание - При пользовании настоящим сводом правил целесообразно пров</w:t>
      </w:r>
      <w:r>
        <w:t>ерить действие ссылочных стандартов, сводов правил и классификаторов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</w:t>
      </w:r>
      <w:r>
        <w:t>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</w:t>
      </w:r>
      <w:r>
        <w:t>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1"/>
      </w:pPr>
      <w:r>
        <w:t>3. Термины и определе</w:t>
      </w:r>
      <w:r>
        <w:t>ния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В настоящем своде правил применены следующие термины с соответствующими определениями: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3.1. огнестойкость строительной конструкции: Способность строительной конструкции сохранять несущие и (или) ограждающие функции в условиях пожара.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3.2. конструктивн</w:t>
      </w:r>
      <w:r>
        <w:t xml:space="preserve">ая огнезащита: Способ огнезащиты строительных конструкций, основанный на создании на обогреваемой поверхности конструкции теплоизоляционного слоя средства огнезащиты. К конструктивной огнезащите относятся толстослойные напыляемые </w:t>
      </w:r>
      <w:r>
        <w:lastRenderedPageBreak/>
        <w:t>составы, огнезащитные обма</w:t>
      </w:r>
      <w:r>
        <w:t>зки, штукатурки, облицовка плитными, листовыми и другими огнезащитными материалами, в том числе на каркасе, с воздушными прослойками, а также комбинации данных материалов, в том числе с тонкослойными вспучивающимися покрытиями. Способ нанесения (крепления)</w:t>
      </w:r>
      <w:r>
        <w:t xml:space="preserve"> огнезащиты должен соответствовать способу, описанному в протоколе испытаний на огнестойкость и в проекте огнезащиты.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3.3. тонкослойное огнезащитное покрытие (вспучивающееся покрытие, краска): Способ огнезащиты строительных конструкций, основанный на нанесении на обогреваемую поверхность конструкции специальных лакокрасочных составов с толщиной сухого слоя, не превышающей</w:t>
      </w:r>
      <w:r>
        <w:t xml:space="preserve"> 3 мм, увеличивающих ее многократно при нагревании.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3.4. пожарная секция: Часть пожарного отсека, выделенная противопожарными преградами в соответствии с требованиями нормативных документов по пожарной безопасности.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3.5. проект огнезащиты: проектная докуме</w:t>
      </w:r>
      <w:r>
        <w:t>нтация и (или) рабочая документация, содержащая обоснование принятых проектных решений по способам и средствам огнезащиты строительных конструкций для обеспечения их предела огнестойкости по ГОСТ 30247, с учетом экспериментальных данных по огнезащитной эфф</w:t>
      </w:r>
      <w:r>
        <w:t>ективности средства огнезащиты, а также результатов прочностных и теплотехнических расчетов строительных конструкций с нанесенными средствами огнезащиты.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3.6. огнезащитная плита: элемент конструктивной огнезащиты, представляющий собой навесную панель, обес</w:t>
      </w:r>
      <w:r>
        <w:t>печивающую огнезащитную эффективность за счет экранирования конструкции, а также низкой теплопроводности исходного материала самой плиты.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3.7. фасадная система (ФС): система, состоящая из материалов, изделий, элементов и деталей (включая архитектурно-декор</w:t>
      </w:r>
      <w:r>
        <w:t>ативные элементы), а также совокупности технических и технологических решений, определяющих правила и порядок установки этой системы в проектное положение, предназначенная для отделки, облицовки (в случае использования штучных материалов) и теплоизоляции н</w:t>
      </w:r>
      <w:r>
        <w:t>аружных стен зданий и сооружений различного назначения в процессе их строительства, ремонта и реконструкции.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Фасадные системы (ФС) подразделяются на: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фасадные теплоизоляционные композиционные системы с наружными штукатурными слоями (ФТКС): совокупность с</w:t>
      </w:r>
      <w:r>
        <w:t xml:space="preserve">лоев, устраиваемых непосредственно на внешней поверхности наружных стен зданий, в том числе клеевой слой, слой теплоизоляционного материала, штукатурные и защитно-декоративные слои. ФТКС представляет собой комплекс материалов и изделий, устанавливаемый на </w:t>
      </w:r>
      <w:r>
        <w:t>строительной площадке на заранее подготовленные поверхности зданий или сооружений в процессе их строительства, ремонта и реконструкции, а также совокупность технических и технологических решений, определяющих правила и порядок установки ФТКС в проектное по</w:t>
      </w:r>
      <w:r>
        <w:t>ложение, предназначенная для наружной облицовки, отделки и теплоизоляции стен зданий и сооружений различного назначения;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- навесные фасадные системы с воздушным зазором (НФС): система, состоящая из подоблицовочной конструкции, теплоизоляционного слоя (при </w:t>
      </w:r>
      <w:r>
        <w:t xml:space="preserve">его наличии), ветро-гидрозащитной мембраны (при ее наличии) и защитно-декоративного экрана, а также совокупности технических и технологических решений, определяющих правила и порядок </w:t>
      </w:r>
      <w:r>
        <w:lastRenderedPageBreak/>
        <w:t>установки этой системы в проектное положение, предназначенная для наружно</w:t>
      </w:r>
      <w:r>
        <w:t>й облицовки и теплоизоляции стен зданий и сооружений различного назначения;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навесные светопрозрачные фасадные системы (НСФС): система, состоящая из металлического каркаса, крепежных элементов и светопрозрачного (в особых случаях - непрозрачного) заполнен</w:t>
      </w:r>
      <w:r>
        <w:t>ия, а также совокупности технических и технологических решений, определяющих правила и порядок установки этой системы в проектное положение, предназначенная для наружной облицовки зданий и сооружений различного назначения.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3.8. облицовка: система из штучны</w:t>
      </w:r>
      <w:r>
        <w:t>х материалов, образующая наружный слой элементов зданий (стен, колонн, перекрытий, цоколей) и поверхности зданий и сооружений.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3.9. отделка внешних поверхностей наружных стен: внешняя поверхность наружных стен, изготовленная из нештучных (штукатурных, лако</w:t>
      </w:r>
      <w:r>
        <w:t>красочных и т.п.) материалов, предохраняющая основные ограждающие, несущие конструкции и теплоизоляционные материалы от атмосферных и других внешних воздействий.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1"/>
      </w:pPr>
      <w:r>
        <w:t>4. Основные положении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4.1. Нормативная и техническая документация на здания, строительные ко</w:t>
      </w:r>
      <w:r>
        <w:t>нструкции, изделия и материалы должна содержать их пожарно-технические характеристики, регламентируемые настоящим сводом правил.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4.2. В процессе проектирования объектов защиты должны определяться характеристики огнестойкости и пожарной опасности объектов з</w:t>
      </w:r>
      <w:r>
        <w:t>ащиты.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разработке и введении в действие новых стандартов на методы определения пожарно-технических показателей строительной продукции необходимо устанавливать эти показатели в соответствии с классификацией, принятой в настоящем своде правил.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4.3. Катег</w:t>
      </w:r>
      <w:r>
        <w:t>ории помещений и зданий по взрывопожарной и пожарной опасности следует определять в соответствии с положениями СП 12.13130.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4.4. Высота и этажность зданий, кроме специально оговоренных случаев, определяются согласно СП 1.13130.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4.5. В процессе строительств</w:t>
      </w:r>
      <w:r>
        <w:t>а необходимо обеспечить приоритетное выполнение противопожарных мероприятий, предусмотренных проектом, разработанным в соответствии с действующими нормативными документами по пожарной безопасности и утвержденным в установленном порядке.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4.6. В процессе экс</w:t>
      </w:r>
      <w:r>
        <w:t>плуатации следует: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обеспечить содержание здания и состояние строительных конструкций в соответствии с требованиями проектной и технической документации на них;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не допускать изменений конструктивных, объемно-планировочных и инженерно-технических решений</w:t>
      </w:r>
      <w:r>
        <w:t xml:space="preserve"> без проекта, разработанного в соответствии с действующими </w:t>
      </w:r>
      <w:r>
        <w:lastRenderedPageBreak/>
        <w:t>нормативными документами по пожарной безопасности и утвержденного в установленном порядке;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при проведении ремонтных работ не допускать применения конструкций и материалов, не отвечающих противопо</w:t>
      </w:r>
      <w:r>
        <w:t>жарным требованиям.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4.7. При изменении функционального назначения существующих зданий или отдельных помещений в них, а также при изменении объемно-планировочных и конструктивных решений должны применяться действующие нормативные документы по пожарной безоп</w:t>
      </w:r>
      <w:r>
        <w:t>асности в соответствии с новым назначением этих зданий или помещений.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4.8. Наряду с настоящим сводом правил должны соблюдаться противопожарные требования, изложенные в других нормативных документах по пожарной безопасности. Эти нормативные документы могут </w:t>
      </w:r>
      <w:r>
        <w:t>содержать дополнения, уточнения и изменения положений настоящего свода правил, учитывающие особенности функционального назначения и специфику пожарной защиты отдельных видов объектов защиты.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1"/>
      </w:pPr>
      <w:r>
        <w:t>5. Требования к строительным конструкциям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2"/>
      </w:pPr>
      <w:r>
        <w:t>5.1. Пожарно-техническая классификация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5.1.1. Цель пожарно-технической классификации - установление необходимых требований по противопожарной защите конструкций, помещений, зданий, элементов и частей зданий в зависимости от их огнестойкости и (или) пожарн</w:t>
      </w:r>
      <w:r>
        <w:t>ой опасности.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5.1.2. Строительные конструкции классифицируются по огнестойкости и пожарной опасности. Противопожарные преграды классифицируются по способу предотвращения распространения опасных факторов пожара, а также по огнестойкости в целях подбора стро</w:t>
      </w:r>
      <w:r>
        <w:t>ительных конструкций и заполнения проемов в противопожарных преградах с необходимым пределом огнестойкости и классом пожарной опасности.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2"/>
      </w:pPr>
      <w:r>
        <w:t>5.2. Строительные конструкции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5.2.1. Предел огнестойкости строительных конструкций устанавливается по времени (в мину</w:t>
      </w:r>
      <w:r>
        <w:t>тах) от начала огневого испытания при стандартном температурном режиме до наступления одного или последовательно нескольких нормируемых для данной конструкции предельных состояний по огнестойкости, с учетом функционального назначения конструкции.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Для строи</w:t>
      </w:r>
      <w:r>
        <w:t>тельных конструкций пределы огнестойкости и их условные обозначения определяют по ГОСТ 30247, ГОСТ 51136, ГОСТ Р 53307 и ГОСТ Р 53308.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Предел огнестойкости узлов крепления и примыкания строительных конструкций между собой должен быть не ниже минимального т</w:t>
      </w:r>
      <w:r>
        <w:t>ребуемого предела огнестойкости стыкуемых строительных конструкций и определяется в рамках оценки огнестойкости стыкуемых строительных конструкций.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Предел огнестойкости по признаку R конструкции, являющейся опорой для других конструкций, должен быть не мен</w:t>
      </w:r>
      <w:r>
        <w:t>ее предела огнестойкости опираемой конструкции.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lastRenderedPageBreak/>
        <w:t>5.2.2. Класс пожарной опасности строительных конструкций определяют по ГОСТ 30403, за исключением стен наружных с внешней стороны с применением ФТКС и НФС.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Для конструкций стен наружных ненесущих светопрозрач</w:t>
      </w:r>
      <w:r>
        <w:t>ных допускается без испытаний устанавливать классы их пожарной опасности: К0 - для конструкций, выполненных только из негорючих материалов (НГ), при этом показатели пожарной опасности материалов уплотнителей и герметиков учитывать не следует; К3 - для конс</w:t>
      </w:r>
      <w:r>
        <w:t>трукций, выполненных из материалов группы горючести Г4.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Строительные конструкции не должны способствовать скрытому распространению горения.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стенах, перегородках, перекрытиях и покрытиях зданий, а также в узлах их сочленения не допускается предусматривать</w:t>
      </w:r>
      <w:r>
        <w:t xml:space="preserve"> пустоты, ограниченные горючими материалами, за исключением пустот, разделенных элементами сплошного сечения или глухими диафрагмами из негорючих материалов толщиной, равной не менее толщины пересекаемой конструкции, в том числе по контуру помещений и кори</w:t>
      </w:r>
      <w:r>
        <w:t>доров: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в деревянных конструкциях перекрытий и покрытий, при условии их разделения глухими диафрагмами на участки площадью не более 54 м</w:t>
      </w:r>
      <w:r>
        <w:rPr>
          <w:vertAlign w:val="superscript"/>
        </w:rPr>
        <w:t>2</w:t>
      </w:r>
      <w:r>
        <w:t>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между стальным или алюминиевым профилированным листом и утеплителем, при заполнении этих пустот негорючим материал</w:t>
      </w:r>
      <w:r>
        <w:t>ом (минеральной ватой, огнезащитными плитами, огнестойкими мастиками и др.) на длину не менее 25 см по торцам листов;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между конструкциями стен и перегородок классов К0, К1 и их облицовками (отделками) из горючих материалов со стороны помещений, при услов</w:t>
      </w:r>
      <w:r>
        <w:t>ии разделения этих пустот глухими диафрагмами на участки площадью не более 3 м</w:t>
      </w:r>
      <w:r>
        <w:rPr>
          <w:vertAlign w:val="superscript"/>
        </w:rPr>
        <w:t>2</w:t>
      </w:r>
      <w:r>
        <w:t>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между облицовками из горючих материалов и наружными поверхностями стен одноэтажных зданий высотой от уровня земли до карнизного свеса не более 6 м и площадью застройки не бо</w:t>
      </w:r>
      <w:r>
        <w:t>лее 300 м</w:t>
      </w:r>
      <w:r>
        <w:rPr>
          <w:vertAlign w:val="superscript"/>
        </w:rPr>
        <w:t>2</w:t>
      </w:r>
      <w:r>
        <w:t>, при условии разделения этих пустот глухими диафрагмами на участки площадью не более 7,2 м</w:t>
      </w:r>
      <w:r>
        <w:rPr>
          <w:vertAlign w:val="superscript"/>
        </w:rPr>
        <w:t>2</w:t>
      </w:r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Перечисленные выше требования не распространяются на наружную теплоизоляцию и отделку зданий.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5.2.3. Класс пожарной опасности (в том числе возможность р</w:t>
      </w:r>
      <w:r>
        <w:t>аспространять горение) конструкций наружных стен с внешней стороны с применением ФТКС и НФС определяют при проведении огневых испытаний по ГОСТ 31251.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зданиях и сооружениях I - III степеней огнестойкости, кроме малоэтажных жилых домов, не допускается вып</w:t>
      </w:r>
      <w:r>
        <w:t>олнять отделку (в случае использования штучных материалов - облицовку) внешних поверхностей наружных стен из материалов групп горючести Г2 - Г4, а для зданий классов функциональной пожарной опасности Ф1.1 и Ф4.1 должны применятся фасадные системы класса К0</w:t>
      </w:r>
      <w:r>
        <w:t xml:space="preserve"> с применением негорючих материалов облицовки, отделки и теплоизоляции.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5.2.4. Узлы пересечения строительных конструкций с нормируемыми пределами огнестойкости кабелями, трубопроводами, воздуховодами и другим технологическим </w:t>
      </w:r>
      <w:r>
        <w:lastRenderedPageBreak/>
        <w:t>оборудованием должны иметь предел огнестойкости не ниже пределов, установленных для пересекаемых констр</w:t>
      </w:r>
      <w:r>
        <w:t>укций. Пределы огнестойкости узлов пересечения (проходок) определяют по ГОСТ 30247, ГОСТ Р 53299, ГОСТ Р 53306, ГОСТ Р 53310.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5.2.5. Эффективность средств огнезащиты, применяемых для снижения пожарной опасности материалов, должна оцениваться посредством ис</w:t>
      </w:r>
      <w:r>
        <w:t>пытаний по определению показателей пожарной опасности строительных материалов.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Эффективность средств огнезащиты, применяемых для обеспечения требуемых пределов огнестойкости конструкций, должна оцениваться посредством испытаний по определению пределов огне</w:t>
      </w:r>
      <w:r>
        <w:t>стойкости строительных конструкций.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Эффективность средств огнезащиты оценивается по ГОСТ Р 53292 и ГОСТ Р 53295. Пределы огнестойкости строительных конструкций с огнезащитой и их класс пожарной опасности устанавливают по ГОСТ 30247 и ГОСТ 30403.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5.2.6. Под</w:t>
      </w:r>
      <w:r>
        <w:t>весные потолки, применяемые для повышения пределов огнестойкости перекрытий и покрытий, по пожарной опасности должны соответствовать требованиям, предъявляемым к этим перекрытиям и покрытиям.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Пределы огнестойкости подвесных потолков устанавливают по ГОСТ Р</w:t>
      </w:r>
      <w:r>
        <w:t xml:space="preserve"> 53298. Предел огнестойкости перекрытий и покрытий с подвесными потолками устанавливают по ГОСТ 30247.1.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Противопожарные перегородки в помещениях с подвесными потолками и фальшполами должны разделять пространство над и под ними.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пространстве за подвесным</w:t>
      </w:r>
      <w:r>
        <w:t>и потолками и под фальшполами не допускается размещение каналов и трубопроводов для транспортирования горючих газов, пылевоздушных смесей, жидкостей и материалов.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Подвесные потолки и фальшполы не допускается использовать в помещениях категорий А и Б.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5.2.7</w:t>
      </w:r>
      <w:r>
        <w:t>. Пути эвакуации (общие коридоры, холлы, фойе, вестибюли, галереи) должны выделяться стенами или перегородками, предусмотренными от пола до перекрытия (покрытия).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Указанные стены и перегородки должны примыкать к глухим участкам наружных стен и не иметь отк</w:t>
      </w:r>
      <w:r>
        <w:t>рытых проемов, не заполненных дверьми, люками, светопрозрачными конструкциями и др. (в том числе над подвесными потолками и под фальшполами). Светопрозрачные конструкции в данных перегородках и стенах следует предусматривать из негорючих материалов. Узлы п</w:t>
      </w:r>
      <w:r>
        <w:t>ересечения указанных стен и перегородок инженерными коммуникациями должны герметизироваться материалами группы НГ.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Данные стены и перегородки в общественных и административно-бытовых зданиях высотой не более 28 м допускается проектировать с ненормируемыми </w:t>
      </w:r>
      <w:r>
        <w:t>пределами огнестойкости.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В общественных и административно-бытовых зданиях высотой более 28 м указанные стены и перегородки (в том числе из светопрозрачных материалов) следует предусматривать класса К0 с </w:t>
      </w:r>
      <w:r>
        <w:lastRenderedPageBreak/>
        <w:t>пределом огнестойкости не менее EI 45.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2"/>
      </w:pPr>
      <w:r>
        <w:t>5.3. Противоп</w:t>
      </w:r>
      <w:r>
        <w:t>ожарные преграды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5.3.1. К строительным конструкциям, выполняющим функции противопожарных преград в пределах зданий, сооружений и пожарных отсеков, относятся противопожарные стены, перегородки и перекрытия, противопожарные занавесы, шторы и экраны.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5.3.2. </w:t>
      </w:r>
      <w:r>
        <w:t>Противопожарные преграды характеризуются огнестойкостью и пожарной опасностью. Огнестойкость противопожарной преграды определяется огнестойкостью ее элементов: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ограждающей части;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конструкций, обеспечивающих устойчивость преграды;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конструкций, на кото</w:t>
      </w:r>
      <w:r>
        <w:t>рые она опирается;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углов крепления и примыкания конструкций.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Пределы огнестойкости конструкций, обеспечивающих устойчивость противопожарной преграды, конструкций, на которые она опирается, а также узлов крепления конструкций между собой по признаку R, а </w:t>
      </w:r>
      <w:r>
        <w:t>узлов примыкания по признакам EI, должны быть не менее предела огнестойкости противопожарной преграды.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Пожарная опасность противопожарной преграды определяется пожарной опасностью ее ограждающей части с узлами крепления и конструкций, обеспечивающих устойч</w:t>
      </w:r>
      <w:r>
        <w:t>ивость преграды.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5.3.3. Перегородки и перекрытия тамбур-шлюзов должны быть противопожарными. Противопожарные преграды должны быть класса К0. Допускается в специально оговоренных случаях применять противопожарные преграды 2 - 4-го типов класса К1.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5.3.4. Об</w:t>
      </w:r>
      <w:r>
        <w:t>щая площадь проемов в противопожарных преградах, за исключением ограждений лифтовых шахт, не должна превышать 25% их площади.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Не нормируется общая площадь проемов в противопожарн</w:t>
      </w:r>
      <w:r>
        <w:t>ых преградах, если значения нормируемых пределов огнестойкости заполнения проемов предусмотрены не менее соответствующих пределов огнестойкости противопожарной преграды.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2"/>
      </w:pPr>
      <w:r>
        <w:t>5.4. Здания, пожарные отсеки, помещения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 xml:space="preserve">5.4.1. Здания, сооружения, а также пожарные </w:t>
      </w:r>
      <w:r>
        <w:t>отсеки (далее - здания) подразделяются по степеням огнестойкости, классам конструктивной и функциональной пожарной опасности.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5.4.2. К несущим элементам зданий относятся несущие стены, колонны, связи, диафрагмы жесткости, фермы, элементы перекрытий и бесче</w:t>
      </w:r>
      <w:r>
        <w:t>рдачных покрытий (балки, ригели, плиты, настилы), если они участвуют в обеспечении общей устойчивости и геометрической неизменяемости здания при пожаре. Сведения о несущих конструкциях, не участвующих в обеспечении общей устойчивости и геометрической неизм</w:t>
      </w:r>
      <w:r>
        <w:t xml:space="preserve">еняемости здания, приводятся </w:t>
      </w:r>
      <w:r>
        <w:lastRenderedPageBreak/>
        <w:t>проектной организацией в технической документации на здание.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5.4.3. В зданиях I и II степеней огнестойкости для обеспечения требуемого предела огнестойкости несущих элементов здания, отвечающих за его общую устойчивость и геоме</w:t>
      </w:r>
      <w:r>
        <w:t>трическую неизменяемость при пожаре, следует применять конструктивную огнезащиту.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Средства огнезащиты для стальных и железобетонных строительных конструкций следует использовать при условии оценки предела огнестойкости конструкций с нанесенными средствами </w:t>
      </w:r>
      <w:r>
        <w:t>огнезащиты по ГОСТ 30247, с учетом способа крепления (нанесения), указанного в технической документации на огнезащиту, и (или) разработки проекта огнезащиты.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Применение тонкослойных огнезащитных покрытий для стальных конструкций, являющихся несущими элемен</w:t>
      </w:r>
      <w:r>
        <w:t>тами зданий I и II степеней огнестойкости, допускается для конструкций с приведенной толщиной металла согласно ГОСТ Р 53295 не менее 5,8 мм.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Не допускается использовать огнезащитные покрытия и пропитки в местах, исключающих возможность периодической замены</w:t>
      </w:r>
      <w:r>
        <w:t xml:space="preserve"> или восстановления, а также контроля их состояния.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Выбор вида огнезащиты осуществляется с учетом режима эксплуатации объекта защиты и установленных сроков эксплуатации огнезащитного покрытия. В случае строительства зданий и сооружений в сейсмическом район</w:t>
      </w:r>
      <w:r>
        <w:t>е при применении средств огнезащиты должны выполняться требования СП 14.13330.2011.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Если требуемый предел огнестойкости конструкции (за исключением конструкций в составе противопожарных преград) R 15 (RE 15, REI 15), допускается применять незащищенные стал</w:t>
      </w:r>
      <w:r>
        <w:t xml:space="preserve">ьные конструкции независимо от их фактического предела огнестойкости, за исключением случаев, когда предел огнестойкости хотя бы одного из элементов несущих конструкций (структурных элементов ферм, балок, колонн и т.п.) по результатам испытаний составляет </w:t>
      </w:r>
      <w:r>
        <w:t>менее R 8.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5.4.4. Пределы огнестойкости и классы пожарной опасности заполнений проемов в ограждающих конструкциях зданий (дверей, ворот, окон и люков), а также фонарей, в том числе зенитных, и других светопрозрачных участков настилов покрытий не нормируютс</w:t>
      </w:r>
      <w:r>
        <w:t>я, за исключением специально оговоренных случаев и при нормировании пределов огнестойкости заполнения проемов в противопожарных преградах.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Конструкции заполнения светопрозрачных проемов (кроме дымовых люков) в покрытиях зданий классов конструктивной пожарн</w:t>
      </w:r>
      <w:r>
        <w:t>ой опасности С0 и С1 следует выполнять из негорючих материалов.</w:t>
      </w:r>
    </w:p>
    <w:p w:rsidR="00000000" w:rsidRDefault="00B56B3B">
      <w:pPr>
        <w:pStyle w:val="ConsPlusNormal"/>
        <w:jc w:val="both"/>
      </w:pPr>
      <w:r>
        <w:t>(в ред. Изменения N 1, утв. Приказом МЧС России от 23.10.2013 N 678)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5.4.5. Пределы огнестойкости и классы пожарной опасности конструкций чердачных покрытий в зданиях всех степеней огнестойкос</w:t>
      </w:r>
      <w:r>
        <w:t>ти не нормируются, а кровлю, стропила и обрешетку, а также подшивку карнизных свесов допускается выполнять из горючих материалов, за исключением специально оговоренных случаев.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Конструкции фронтонов допускается проектировать с ненормируемыми пределами огне</w:t>
      </w:r>
      <w:r>
        <w:t>стойкости, при этом фронтоны должны иметь класс пожарной опасности, соответствующий классу пожарной опасности наружных стен с внешней стороны.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lastRenderedPageBreak/>
        <w:t>Сведения о конструкциях, относящихся к элементам чердачных покрытий, приводятся проектной организацией в техничес</w:t>
      </w:r>
      <w:r>
        <w:t>кой документации на здание.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зданиях I - IV степеней огнестойкости с чердачными покрытиями, при стропилах и (или) обрешетке, выполненных из горючих материалов, кровлю следует выполнять из негорючих материалов, а стропила и обрешетку в зданиях I степени ог</w:t>
      </w:r>
      <w:r>
        <w:t>нестойкости подвергать обработке огнезащитными составами I группы огнезащитной эффективности, в зданиях II - IV степеней огнестойкости огнезащитными составами не ниже II группы огнезащитной эффективности по ГОСТ 53292, либо выполнять их конструктивную огне</w:t>
      </w:r>
      <w:r>
        <w:t>защиту, не способствующую скрытому распространению горения.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зданиях классов С0, С1 конструкции карнизов, подшивки карнизных свесов чердачных покрытий следует выполнять из материалов НГ, Г1 либо выполнять обшивку данных элементов листовыми материалами гру</w:t>
      </w:r>
      <w:r>
        <w:t>ппы горючести не менее Г1. Для указанных конструкций не допускается использование горючих утеплителей (за исключением пароизоляции толщиной до 2 мм), и они не должны способствовать скрытому распространению горения.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5.4.6. При внедрении в практику строитель</w:t>
      </w:r>
      <w:r>
        <w:t>ства конструктивных систем, которые не могут быть однозначно отнесены к определенной степени огнестойкости или классу конструктивной пожарной опасности на основании стандартных огневых испытаний или расчетным путем, следует проводить огневые испытания нату</w:t>
      </w:r>
      <w:r>
        <w:t>рных фрагментов зданий с учетом требований ГОСТ Р 53309 или комплексную расчетно-экспериментальную оценку огнестойкости и (или) класса пожарной опасности.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5.4.7. Для выделения пожарных отсеков применяются противопожарные стены 1-го типа и (или) перекрытия </w:t>
      </w:r>
      <w:r>
        <w:t>1-го типа.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Допускается для выделения пожарного отсека использовать технические этажи, отделенные от смежных этажей противопожарными перекрытиями 2-го типа, в случае если не предусмотрено смещение противопожарных стен 1-го типа от основной оси.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5.4.8. Проти</w:t>
      </w:r>
      <w:r>
        <w:t>вопожарные стены, разделяющие здание на пожарные отсеки, должны возводиться на всю высоту здания или до противопожарных перекрытий 1-го типа и обеспечивать нераспространение пожара в смежный по горизонтали пожарный отсек при обрушении конструкций здания со</w:t>
      </w:r>
      <w:r>
        <w:t xml:space="preserve"> стороны очага пожара.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разделении пожарных отсеков разной высоты противопожарной должна быть стена более высокого отсека. При разделении пожарных отсеков разной ширины противопожарной должна быть стена более широкого отсека.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5.4.9. Противопожарные стены допускается устанавливать непосредственно на конструкции каркаса здания или сооружения.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Конструкции каркаса здания, на которые устанавливается противопожарная стена, не должны примыкать к помещениям категорий А и Б.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5.4.10. Про</w:t>
      </w:r>
      <w:r>
        <w:t xml:space="preserve">тивопожарные стены должны возвышаться над кровлей: не менее чем на 60 см, если хотя бы один из элементов чердачного или бесчердачного покрытия, за исключением кровли, </w:t>
      </w:r>
      <w:r>
        <w:lastRenderedPageBreak/>
        <w:t xml:space="preserve">выполнен из материалов групп Г3, Г4; не менее чем на 30 см, если элементы чердачного или </w:t>
      </w:r>
      <w:r>
        <w:t>бесчердачного покрытия, за исключением кровли, выполнены из материалов групп Г1, Г2.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Противопожарные стены могут не возвышаться над кровлей, если все элементы чердачного или бесчердачного покрытия, за исключением водоизоляционного ковра, выполнены из матер</w:t>
      </w:r>
      <w:r>
        <w:t>иалов НГ.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5.4.11. Противопожарные стены 1-го типа в зданиях классов конструктивной пожарной опасности С1 - С3 должны разделять наружные стены и выступать за наружную плоскость стены не менее чем на 30 см.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5.4.12. При наружных стенах с витражным или ленточн</w:t>
      </w:r>
      <w:r>
        <w:t>ым остеклением противопожарные стены 1-го типа должны его разделять. При этом допускается, чтобы противопожарные стены не выступали за наружную плоскость стены.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5.4.13. Допускается в наружной части противопожарной стены размещать окна, двери и ворота с нен</w:t>
      </w:r>
      <w:r>
        <w:t>ормируемыми пределами огнестойкости на расстоянии над кровлей примыкающего отсека не менее 8 м по вертикали и не менее 4 м от стен по горизонтали.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5.4.14. Если при размещении противопожарных стен или противопожарных перегородок 1-го типа в местах примыкани</w:t>
      </w:r>
      <w:r>
        <w:t>я одной части здания к другой образуется внутренний угол менее 135°, необходимо принять следующие меры: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участки карнизных свесов крыш на длине не менее 4 м от вершины угла следует выполнять из материалов НГ либо выполнять обшивку данных элементов листовы</w:t>
      </w:r>
      <w:r>
        <w:t>ми материалами НГ;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участки наружных стен, примыкающих к противопожарной стене или перегородке, длиной не менее 4 м от вершины угла должны быть класса пожарной опасности К0 и иметь предел огнестойкости, равный пределу огнестойкости противопожарной стены и</w:t>
      </w:r>
      <w:r>
        <w:t>ли противопожарной перегородки;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расстояние по горизонтали между ближайшими гранями проемов, расположенных в наружных стенах по разные стороны вершины угла, должно быть не менее 4 м. При расстоянии между данными проемами менее 4 м они на вышеуказанном уча</w:t>
      </w:r>
      <w:r>
        <w:t>стке стены должны иметь соответствующее противопожарное заполнение.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5.4.15. Предел огнестойкости участков покрытий зданий, используемых для проезда пожарной техники или устройства площадки для аварийно-спасательных кабин пожарных вертолетов, должен быть не</w:t>
      </w:r>
      <w:r>
        <w:t xml:space="preserve"> менее REI 60, класс пожарной опасности - К0.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устройстве эвакуационных выходов на эксплуатируемую кровлю или специально оборудованный участок кровли конструкции покрытий следует проектировать: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с пределом огнестойкости не менее R 15/RE 15 для эвакуации </w:t>
      </w:r>
      <w:r>
        <w:t>из помещений без постоянных рабочих мест;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не менее R 30/RE 30 при числе эвакуирующихся по кровле до 5 чел.;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не менее REI 30, класса К0 при числе эвакуирующихся по кровле до 15 чел.;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lastRenderedPageBreak/>
        <w:t>не менее REI 45, класса К0 при числе эвакуирующихся по кровле более 15 чел</w:t>
      </w:r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использовании покрытия в качестве безопасной зоны (пожаробезопасной зоны) конструкции покрытий следует проектировать класса пожарной опасности К0 с пределом огнестойкости не менее REI 45.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этом участок кровли, предназначенный для размещения людей,</w:t>
      </w:r>
      <w:r>
        <w:t xml:space="preserve"> должен быть выполнен из негорючих материалов.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5.4.16. Стены лестничных клеток должны возводиться на всю высоту зданий и возвышаться над кровлей. В случае если перекрытие (покрытие) над лестничной клеткой имеет предел огнестойкости, соответствующий предела</w:t>
      </w:r>
      <w:r>
        <w:t>м огнестойкости внутренних стен лестничных клеток, стены лестничных клеток могут не возвышаться над кровлей.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Внутренние стены лестничных клеток типа Л1, Л2, Н1 и Н3 не должны иметь проемов, за исключением дверных. Внутренние стены лестничных клеток типа Н2</w:t>
      </w:r>
      <w:r>
        <w:t xml:space="preserve"> не должны иметь проемов, за исключением дверных и отверстий для подачи воздуха системы противодымной защиты.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наружных стенах лестничных клеток типа Л1, Н1 и Н3 должны быть предусмотрены на каждом этаже окна, открывающиеся изнутри без ключа и других спец</w:t>
      </w:r>
      <w:r>
        <w:t>иальных устройств, с площадью остекления не менее 1,2 м</w:t>
      </w:r>
      <w:r>
        <w:rPr>
          <w:vertAlign w:val="superscript"/>
        </w:rPr>
        <w:t>2</w:t>
      </w:r>
      <w:r>
        <w:t>. Устройства для открывания окон должны быть расположены не выше 1,7 м от уровня площадки лестничной клетки или пола этажа.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устройстве лестничных клеток типа Л1 с открытыми проемами в наружных сте</w:t>
      </w:r>
      <w:r>
        <w:t>нах необходимо проводить расчетно-экспериментальное обоснование принятых решений по исключению их блокирования опасными факторами пожара.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обычных лестничных клетках зданий высотой не более 15 м и зданий классов функциональной пожарной опасности Ф1.3 и Ф1</w:t>
      </w:r>
      <w:r>
        <w:t>.4, независимо от их высоты, допускается предусматривать двери с ненормируемым пределом огнестойкости. При этом в зданиях высотой более 15 м указанные двери должны быть глухими или с армированным стеклом.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Двери незадымляемых лестничных клеток типа Н2 и Н3 </w:t>
      </w:r>
      <w:r>
        <w:t>(кроме наружных дверей) должны быть противопожарными 2-го типа для зданий высотой до 50 м и 1-го типа для зданий высотой 50 м и более.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Стены лестничных клеток в местах примыкания к наружным ограждающим конструкциям зданий должны их пересекать или примыкать</w:t>
      </w:r>
      <w:r>
        <w:t xml:space="preserve"> к глухим участкам наружных стен без зазоров. При этом расстояние по горизонтали между проемами лестничной клетки и проемами в наружной стене здания должно быть не менее 1,2 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Если при размещении лестничных клеток в местах примыкания одной части здания к </w:t>
      </w:r>
      <w:r>
        <w:t>другой внутренний угол составляет менее 135°, необходимо, чтобы наружные стены лестничных клеток, образующие этот угол, имели предел огнестойкости по признакам EI и класс пожарной опасности, соответствующий внутренним стенам лестничных клеток.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Допускается </w:t>
      </w:r>
      <w:r>
        <w:t xml:space="preserve">предусматривать в указанных стенах лестничных клеток оконные проемы или светопрозрачные конструкции, а также дверные проемы. При этом расстояние по горизонтали от </w:t>
      </w:r>
      <w:r>
        <w:lastRenderedPageBreak/>
        <w:t>оконных и дверных проемов лестничных клеток до проемов (оконных, со светопрозрачным заполнени</w:t>
      </w:r>
      <w:r>
        <w:t>ем, дверных и т.д.) в наружных стенах зданий должно быть не менее 4 м. При расстоянии между вышеуказанными проемами менее 4 м они должны быть заполнены противопожарными дверями или окнами с пределом огнестойкости не менее EI (E) 30.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разделении здания на пожарные отсеки противопожарными перекрытиями или техническими этажами стены лестничных клеток должны иметь предел огнестойкости не менее REI 150.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5.4.17. Противопожарные перекрытия 1-го типа должны разделить наружные стены и высту</w:t>
      </w:r>
      <w:r>
        <w:t>пать за наружную плоскость стены не менее чем на 30 см.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Допускается не разделять противопожарными перекрытиями 1-го типа наружные стены, если одновременно выполняются следующие условия: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участки наружных стен в местах примыкания к перекрытиям (противопожа</w:t>
      </w:r>
      <w:r>
        <w:t>рные пояса) выполнены глухими при расстоянии между верхом окна нижележащего этажа и низом окна вышележащего этажа не менее 1,2 м;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предел огнестойкости данных участков наружных стен (в том числе узлов примыкания) предусмотрен не менее EI 150;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класс пожа</w:t>
      </w:r>
      <w:r>
        <w:t>рной опасности данных участков наружных стен (в том числе углов примыкания) предусмотрен не менее К0;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наружная теплоизоляция и отделка зданий на уровне противопожарного перекрытия должна разделяться огнестойкой отсечкой из негорючих материалов толщиной н</w:t>
      </w:r>
      <w:r>
        <w:t>е менее толщины перекрытия.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5.4.18. Предел огнестойкости наружных несущих стен по потере целостности (Е) должен быть не менее требуемого предела огнестойкости для наружных ненесущих стен.</w:t>
      </w:r>
    </w:p>
    <w:p w:rsidR="00000000" w:rsidRDefault="00B56B3B">
      <w:pPr>
        <w:pStyle w:val="ConsPlusNormal"/>
        <w:jc w:val="both"/>
      </w:pPr>
      <w:r>
        <w:t>(в ред. Изменения N 1, утв. Приказом МЧС России от 23.10.2013 N 678)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Предел огнестойкости конструкций наружных светопрозрачных стен должен соответствовать требованиям, предъявляемым к наружным ненесущим стенам.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Предел огнестойкости узлов примыкания и крепления наружных стен (в том числе несущих, самонесущих, навесных, со с</w:t>
      </w:r>
      <w:r>
        <w:t>ветопрозрачным заполнением и др.) к перекрытиям должен иметь значение не менее требуемого предела огнестойкости перекрытия по теплоизолирующей способности (I) и целостности (E).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зданиях I - III степеней огнестойкости для наружных стен, имеющих светопрозр</w:t>
      </w:r>
      <w:r>
        <w:t>ачные участки с ненормируемым пределом огнестойкости (в т.ч. оконные проемы, ленточное остекление и т.п., за исключением дверей балконов и эвакуационных выходов), должны выполняться следующие условия:</w:t>
      </w:r>
    </w:p>
    <w:p w:rsidR="00000000" w:rsidRDefault="00B56B3B">
      <w:pPr>
        <w:pStyle w:val="ConsPlusNormal"/>
        <w:jc w:val="both"/>
      </w:pPr>
      <w:r>
        <w:t>(в ред. Изменения N 1, утв. Приказом МЧС России от 23.1</w:t>
      </w:r>
      <w:r>
        <w:t>0.2013 N 678)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- участки наружных стен в местах примыкания к перекрытиям (междуэтажные пояса) следует </w:t>
      </w:r>
      <w:r>
        <w:lastRenderedPageBreak/>
        <w:t>выполнять глухими, высотой не менее 1,2 м;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- предел огнестойкости данных участков наружных стен (в том числе узлов примыкания и крепления) предусмотрен не </w:t>
      </w:r>
      <w:r>
        <w:t>менее требуемого предела огнестойкости перекрытия по целостности (E) и теплоизолирующей способности (I). Если требуемый предел огнестойкости перекрытий составляет более REI 60, допускается принимать предел огнестойкости данных участков стен EI 60;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предел</w:t>
      </w:r>
      <w:r>
        <w:t xml:space="preserve"> огнестойкости глухих участков наружных стен следует устанавливать: для стен междуэтажного заполнения - по ГОСТ 30247.1, для стен навесных - по ГОСТ Р 53308.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5.4.19. Пределы огнестойкости конструкций переходов между зданиями (корпусами) определенной степен</w:t>
      </w:r>
      <w:r>
        <w:t>и огнестойкости должны соответствовать требованиям, предъявляемым к соответствующим конструкциям зданий этой степени огнестойкости. При разных степенях огнестойкости зданий (корпусов), соединяемых переходом, конструкции переходов должны соответствовать тре</w:t>
      </w:r>
      <w:r>
        <w:t>бованиям, предъявляемым к конструкциям зданий более высокой степени огнестойкости. Переходы должны выполняться из материалов НГ.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Коммуникационные, в том числе пешеходные, тоннели следует проектировать из материалов НГ.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Для зданий одного класса функциональн</w:t>
      </w:r>
      <w:r>
        <w:t>ой пожарной опасности, соединенных переходами и тоннелями, стены зданий в местах примыкания к ним переходов и тоннелей следует предусматривать из материалов НГ с пределом огнестойкости не менее EI 120. Двери в проемах этих стен должны быть противопожарными</w:t>
      </w:r>
      <w:r>
        <w:t xml:space="preserve"> 1-го типа. В случае, если общая площадь этажей зданий одного класса функциональной пожарной опасности, соединенных переходами, не превышает допустимой площади этажа в пределах пожарного отсека, данные мероприятия допускается не предусматривать.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Для зданий</w:t>
      </w:r>
      <w:r>
        <w:t xml:space="preserve"> различного класса функциональной пожарной опасности, соединенных переходами, одну из стен зданий, в местах примыкания к ним переходов и тоннелей, следует предусматривать в виде противопожарных преград согласно положениям СП 4.13130.2009.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5.4.20. Требовани</w:t>
      </w:r>
      <w:r>
        <w:t>я к ограждающим конструкциям складских помещений, кладовых для хранения белья, кладовых горючих материалов, гладильных, мастерских, помещений для монтажа станковых и объемных декораций, камер пылеудаления, помещений лебедок противопожарного занавеса, аккум</w:t>
      </w:r>
      <w:r>
        <w:t>уляторных, трансформаторных подстанций, электрощитовых и других пожароопасных помещений необходимо предусматривать в соответствии с СП 4.13130, для вентиляционных камер - в соответствии с СП 7.13130.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1"/>
      </w:pPr>
      <w:r>
        <w:t>6. Требовании к зданиям и сооружениям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Выбор размеров з</w:t>
      </w:r>
      <w:r>
        <w:t>даний и пожарных отсеков следует производить в зависимости от степени их огнестойкости, класса конструктивной и функциональной пожарной опасности и пожарной опасности происходящих в них технологических процессов, в соответствии с требованиями нормативных д</w:t>
      </w:r>
      <w:r>
        <w:t>окументов по пожарной безопасности.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Площадь пожарного отсека характеризуется максимальной величиной площади этажа, </w:t>
      </w:r>
      <w:r>
        <w:lastRenderedPageBreak/>
        <w:t>расположенного в пределах данного отсека.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Площадь этажа в пределах пожарного отсека определяется максимальной площадью этажа, ограниченной наружными стенами здания и (или) противопожарными стенами 1-го типа. Данная площадь определяется с учетом следующих дополнительных требований: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- площадь этажа </w:t>
      </w:r>
      <w:r>
        <w:t>в пределах пожарного отсека зданий, соединенных переходами, тоннелями или галереями, следует рассчитывать путем суммирования площадей соединяемых этажей зданий и площадей переходов, тоннелей или галерей;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в производственных и складских зданиях (классы Ф5.</w:t>
      </w:r>
      <w:r>
        <w:t>1, Ф5.2 и Ф5.3) при наличии открытых проемов в перекрытиях площадь этажа в пределах пожарного отсека следует рассчитывать путем суммирования площадей этажей, соединенных проемами;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- в зданиях закрытых автостоянок с неизолированными рампами площадь этажа в </w:t>
      </w:r>
      <w:r>
        <w:t>пределах пожарного отсека определяется как сумма площадей этажей, соединенных неизолированными рампами;</w:t>
      </w:r>
    </w:p>
    <w:p w:rsidR="00000000" w:rsidRDefault="00B56B3B">
      <w:pPr>
        <w:pStyle w:val="ConsPlusNormal"/>
        <w:jc w:val="both"/>
      </w:pPr>
      <w:r>
        <w:t>(в ред. Изменения N 1, утв. Приказом МЧС России от 23.10.2013 N 678)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для зданий классов функциональной пожарной опасности Ф1.1, Ф1.2, Ф2 - Ф4 при опре</w:t>
      </w:r>
      <w:r>
        <w:t>делении площади этажа в пределах пожарного отсека необходимо учитывать площадь навесов, террас и галерей, пристроенных к зданию, если они не отделены от основной части здания противопожарными стенами 1-го типа;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в зданиях классов функциональной пожарной о</w:t>
      </w:r>
      <w:r>
        <w:t>пасности Ф1.1, Ф1.2, Ф2 - Ф4 с многосветными помещениями, предназначенными для размещения открытых лестниц, эскалаторов, атриумов и др., площадь этажа в пределах пожарного отсека определяется путем суммирования площади нижнего этажа многосветного помещения</w:t>
      </w:r>
      <w:r>
        <w:t xml:space="preserve"> и площадей галерей, переходов и помещений всех вышележащих этажей, расположенных в пределах объема многосветного пространства, ограниченного противопожарными перегородками 1-го типа. При отсутствии противопожарных перегородок 1-го типа, отделяющих многосв</w:t>
      </w:r>
      <w:r>
        <w:t>етное пространство (помещение) от примыкающих к нему помещений и коридоров, площадь этажа в пределах пожарного отсека отделяется путем суммирования площадей соответствующих этажей.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сочетаниях этих показателей, не предусмотренных настоящим разделом, пло</w:t>
      </w:r>
      <w:r>
        <w:t>щадь этажа и высота здания принимаются по худшему из этих показателей для рассматриваемого здания соответствующего класса функциональной пожарной опасности.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При проектировании, строительстве, реконструкции, капитальном ремонте и техническом перевооружении </w:t>
      </w:r>
      <w:r>
        <w:t>объектов дополнительно к требованиям настоящего свода правил следует руководствоваться положениями СП 4.13130.2009.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2"/>
      </w:pPr>
      <w:r>
        <w:t>6.1. Производственные здания (Ф5.1, Ф5.3)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bookmarkStart w:id="2" w:name="Par266"/>
      <w:bookmarkEnd w:id="2"/>
      <w:r>
        <w:t>6.1.1. Степень огнестойкости, класс конструктивной пожарной опасности, высоту зданий</w:t>
      </w:r>
      <w:r>
        <w:t xml:space="preserve"> и площадь этажа в пределах пожарного отсека для производственных зданий, в зависимости от категории по взрывопожарной и пожарной опасности, следует принимать по </w:t>
      </w:r>
      <w:hyperlink w:anchor="Par274" w:tooltip="Таблица 6.1" w:history="1">
        <w:r>
          <w:rPr>
            <w:color w:val="0000FF"/>
          </w:rPr>
          <w:t>таблице 6.1</w:t>
        </w:r>
      </w:hyperlink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lastRenderedPageBreak/>
        <w:t>При определении этажности здания учитываю</w:t>
      </w:r>
      <w:r>
        <w:t>тся площадки, ярусы этажерок и антресолей, площадь которых на любой отметке превышает 40% площади этажа здания.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наличии площадок, этажерок и антресолей площадь каждого этажа и пределах пожарного отсека определяется с учетом площадок, ярусов, этажерок и</w:t>
      </w:r>
      <w:r>
        <w:t xml:space="preserve"> антресолей, расположенных в пределах данного этажа.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При наличии площадок, этажерок и антресолей, площадь которых на любой отметке превышает 40% площади пола помещения, допустимая площадь этажа в пределах пожарного отсека определяется по </w:t>
      </w:r>
      <w:hyperlink w:anchor="Par274" w:tooltip="Таблица 6.1" w:history="1">
        <w:r>
          <w:rPr>
            <w:color w:val="0000FF"/>
          </w:rPr>
          <w:t>таблице 6.1</w:t>
        </w:r>
      </w:hyperlink>
      <w:r>
        <w:t xml:space="preserve"> как для многоэтажного здания с числом этажей, определенным с учетом площадок, ярусов, этажерок и антресолей, площадь которых на любой отметке составляет более 40% площади этажа здания.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оборудовании производственных зда</w:t>
      </w:r>
      <w:r>
        <w:t xml:space="preserve">ний установками автоматического пожаротушения указанные в </w:t>
      </w:r>
      <w:hyperlink w:anchor="Par274" w:tooltip="Таблица 6.1" w:history="1">
        <w:r>
          <w:rPr>
            <w:color w:val="0000FF"/>
          </w:rPr>
          <w:t>таблице 6.1</w:t>
        </w:r>
      </w:hyperlink>
      <w:r>
        <w:t xml:space="preserve"> площади этажей в пределах пожарных отсеков допускается увеличивать на 100%, за исключением зданий IV и V степеней огнестойкости.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наличии откры</w:t>
      </w:r>
      <w:r>
        <w:t xml:space="preserve">тых технологических проемов в перекрытиях смежных этажей суммарная площадь этих этажей не должна превышать площади этажа, указанной в </w:t>
      </w:r>
      <w:hyperlink w:anchor="Par274" w:tooltip="Таблица 6.1" w:history="1">
        <w:r>
          <w:rPr>
            <w:color w:val="0000FF"/>
          </w:rPr>
          <w:t>таблице 6.1</w:t>
        </w:r>
      </w:hyperlink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зданиях категории В при наличии помещений категории В1, имеющих общ</w:t>
      </w:r>
      <w:r>
        <w:t xml:space="preserve">ую площадь более половины площади соответствующего этажа, площадь этажа в пределах пожарного отсека, указанную в </w:t>
      </w:r>
      <w:hyperlink w:anchor="Par274" w:tooltip="Таблица 6.1" w:history="1">
        <w:r>
          <w:rPr>
            <w:color w:val="0000FF"/>
          </w:rPr>
          <w:t>таблице 6.1</w:t>
        </w:r>
      </w:hyperlink>
      <w:r>
        <w:t>, необходимо уменьшить на 25%.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bookmarkStart w:id="3" w:name="Par274"/>
      <w:bookmarkEnd w:id="3"/>
      <w:r>
        <w:t>Таблица 6.1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155"/>
        <w:gridCol w:w="2310"/>
        <w:gridCol w:w="2475"/>
        <w:gridCol w:w="1650"/>
        <w:gridCol w:w="2098"/>
        <w:gridCol w:w="2098"/>
      </w:tblGrid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lastRenderedPageBreak/>
              <w:t>Категория зданий или пожарных отсеков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Высота здания </w:t>
            </w:r>
            <w:hyperlink w:anchor="Par421" w:tooltip="&lt;*&gt; Высота здания в данной таблице измеряется от пола 1-го этажа до потолка верхнего этажа, включая технический; при переменной высоте потолка принимается средняя высота этажа. Высота одноэтажных зданий классов пожарной опасности С0 и С1 не нормируется." w:history="1">
              <w:r>
                <w:rPr>
                  <w:color w:val="0000FF"/>
                </w:rPr>
                <w:t>&lt;*&gt;</w:t>
              </w:r>
            </w:hyperlink>
            <w:r>
              <w:t>, м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 здания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</w:t>
            </w:r>
            <w:r>
              <w:t>руктивной пожарной опасности здания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Площадь этажа в пределах пожарного отсека зданий,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одноэтажных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двухэтажных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многоэтажных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3500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2600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2600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25000</w:t>
            </w:r>
          </w:p>
          <w:p w:rsidR="00000000" w:rsidRDefault="00B56B3B">
            <w:pPr>
              <w:pStyle w:val="ConsPlusNormal"/>
              <w:jc w:val="center"/>
            </w:pPr>
            <w:r>
              <w:t xml:space="preserve">7800 </w:t>
            </w:r>
            <w:hyperlink w:anchor="Par422" w:tooltip="&lt;**&gt; Для деревообрабатывающих производст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  <w:p w:rsidR="00000000" w:rsidRDefault="00B56B3B">
            <w:pPr>
              <w:pStyle w:val="ConsPlusNormal"/>
              <w:jc w:val="center"/>
            </w:pPr>
            <w:r>
              <w:t xml:space="preserve">5200 </w:t>
            </w:r>
            <w:hyperlink w:anchor="Par422" w:tooltip="&lt;**&gt; Для деревообрабатывающих производств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  <w:p w:rsidR="00000000" w:rsidRDefault="00B56B3B">
            <w:pPr>
              <w:pStyle w:val="ConsPlusNormal"/>
              <w:jc w:val="center"/>
            </w:pPr>
            <w:r>
              <w:t xml:space="preserve">5200 </w:t>
            </w:r>
            <w:hyperlink w:anchor="Par422" w:tooltip="&lt;**&gt; Для деревообрабатывающих производств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  <w:p w:rsidR="00000000" w:rsidRDefault="00B56B3B">
            <w:pPr>
              <w:pStyle w:val="ConsPlusNormal"/>
              <w:jc w:val="center"/>
            </w:pPr>
            <w:r>
              <w:t xml:space="preserve">3600 </w:t>
            </w:r>
            <w:hyperlink w:anchor="Par422" w:tooltip="&lt;**&gt; Для деревообрабатывающих производств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600 </w:t>
            </w:r>
            <w:hyperlink w:anchor="Par423" w:tooltip="&lt;***&gt; Для лесопильных цехов с числом рам до четырех, деревообрабатывающих цехов первичной обработки древесины и рубильных станций дробления древесины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ограничивается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ограничивается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15000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bookmarkStart w:id="4" w:name="Par421"/>
            <w:bookmarkEnd w:id="4"/>
            <w:r>
              <w:t>&lt;*&gt; Высота здания в данной таблице измеряется от пола 1-го этажа до потолка верхнего этажа, включая технический; при переменной высоте потолка принимается средняя высота этажа. Высота одноэтажных зданий классов пожарной опасности С</w:t>
            </w:r>
            <w:r>
              <w:t>0 и С1 не нормируется.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bookmarkStart w:id="5" w:name="Par422"/>
            <w:bookmarkEnd w:id="5"/>
            <w:r>
              <w:t>&lt;**&gt; Для деревообрабатывающих производств.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bookmarkStart w:id="6" w:name="Par423"/>
            <w:bookmarkEnd w:id="6"/>
            <w:r>
              <w:t>&lt;***&gt; Для лесопильных цехов с числом рам до четырех, деревообрабатывающих цехов первичной обработки древесины и рубильных станций дробления древесины.</w:t>
            </w:r>
          </w:p>
        </w:tc>
      </w:tr>
    </w:tbl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6.1.2. Степен</w:t>
      </w:r>
      <w:r>
        <w:t>ь огнестойкости, класс конструктивной пожарной опасности, высоту зданий и площадь этажа в пределах пожарного отсека для животноводческих, птицеводческих и звероводческих зданий следует принимать по таблице 6.2.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r>
        <w:t>Таблица 6.2</w:t>
      </w:r>
    </w:p>
    <w:p w:rsidR="00000000" w:rsidRDefault="00B56B3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155"/>
        <w:gridCol w:w="2310"/>
        <w:gridCol w:w="2475"/>
        <w:gridCol w:w="1650"/>
        <w:gridCol w:w="1485"/>
        <w:gridCol w:w="1485"/>
      </w:tblGrid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Категория зданий или пожарных отсеков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Высота здания </w:t>
            </w:r>
            <w:hyperlink w:anchor="Par504" w:tooltip="&lt;*&gt; Высота здания в данной таблице измеряется от пола 1-го этажа до потолка верхнего этажа, включая технический; при переменной высоте потолка принимается средняя высота этажа. Высота одноэтажных зданий классов пожарной опасности С0 и С1 не нормируется." w:history="1">
              <w:r>
                <w:rPr>
                  <w:color w:val="0000FF"/>
                </w:rPr>
                <w:t>&lt;*&gt;</w:t>
              </w:r>
            </w:hyperlink>
            <w:r>
              <w:t>, м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 здания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 здания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Площадь этажа в пределах пожарного отсека зданий,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одноэтажных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двухэтажных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многоэтажных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ограничивается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15000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2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r>
              <w:t>Примечание. Площадь этажа между противопожарными стенами одноэтажных зданий V степени огнестойкости для содержания птицы и овец, указанную в таблице для производства категории В, допускается увеличивать до 1800 м</w:t>
            </w:r>
            <w:r>
              <w:rPr>
                <w:vertAlign w:val="superscript"/>
              </w:rPr>
              <w:t>2</w:t>
            </w:r>
            <w:r>
              <w:t xml:space="preserve"> по требованиям технологии.</w:t>
            </w:r>
          </w:p>
        </w:tc>
      </w:tr>
      <w:tr w:rsidR="00000000">
        <w:tc>
          <w:tcPr>
            <w:tcW w:w="122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bookmarkStart w:id="7" w:name="Par504"/>
            <w:bookmarkEnd w:id="7"/>
            <w:r>
              <w:t>&lt;*</w:t>
            </w:r>
            <w:r>
              <w:t>&gt; Высота здания в данной таблице измеряется от пола 1-го этажа до потолка верхнего этажа, включая технический; при переменной высоте потолка принимается средняя высота этажа. Высота одноэтажных зданий классов пожарной опасности С0 и С1 не нормируется.</w:t>
            </w:r>
          </w:p>
        </w:tc>
      </w:tr>
    </w:tbl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 xml:space="preserve">6.1.3. Степень огнестойкости, класс конструктивной пожарной опасности, допустимую высоту зданий и площадь этажа в пределах пожарного отсека для теплиц и парников следует принимать по </w:t>
      </w:r>
      <w:hyperlink w:anchor="Par274" w:tooltip="Таблица 6.1" w:history="1">
        <w:r>
          <w:rPr>
            <w:color w:val="0000FF"/>
          </w:rPr>
          <w:t>таблице 6.1</w:t>
        </w:r>
      </w:hyperlink>
      <w:r>
        <w:t>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2"/>
      </w:pPr>
      <w:r>
        <w:t>6.2. Складские здан</w:t>
      </w:r>
      <w:r>
        <w:t>ия и здания холодильников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lastRenderedPageBreak/>
        <w:t>6.2.1. Степень огнестойкости, класс конструктивной пожарной опасности, высоту складских зданий (класс Ф5.2) и площадь этажа здания в пределах пожарного отсека, в зависимости от категории по взрывопожарной и пожарной опасности, сл</w:t>
      </w:r>
      <w:r>
        <w:t xml:space="preserve">едует принимать по </w:t>
      </w:r>
      <w:hyperlink w:anchor="Par514" w:tooltip="Таблица 6.3" w:history="1">
        <w:r>
          <w:rPr>
            <w:color w:val="0000FF"/>
          </w:rPr>
          <w:t>таблице 6.3</w:t>
        </w:r>
      </w:hyperlink>
      <w:r>
        <w:t xml:space="preserve">. При наличии площадок, этажерок, ярусов и антресолей площадь этажа определяется согласно </w:t>
      </w:r>
      <w:hyperlink w:anchor="Par266" w:tooltip="6.1.1. Степень огнестойкости, класс конструктивной пожарной опасности, высоту зданий и площадь этажа в пределах пожарного отсека для производственных зданий, в зависимости от категории по взрывопожарной и пожарной опасности, следует принимать по таблице 6.1." w:history="1">
        <w:r>
          <w:rPr>
            <w:color w:val="0000FF"/>
          </w:rPr>
          <w:t>пункту 6.1.1</w:t>
        </w:r>
      </w:hyperlink>
      <w:r>
        <w:t>. При наличии открытых технологических проемов в пере</w:t>
      </w:r>
      <w:r>
        <w:t xml:space="preserve">крытиях смежных этажей суммарная площадь этих этажей не должна превышать площади этажа, указанной в </w:t>
      </w:r>
      <w:hyperlink w:anchor="Par514" w:tooltip="Таблица 6.3" w:history="1">
        <w:r>
          <w:rPr>
            <w:color w:val="0000FF"/>
          </w:rPr>
          <w:t>таблице 6.3</w:t>
        </w:r>
      </w:hyperlink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При оборудовании складских зданий установками автоматического пожаротушения указанные в </w:t>
      </w:r>
      <w:hyperlink w:anchor="Par514" w:tooltip="Таблица 6.3" w:history="1">
        <w:r>
          <w:rPr>
            <w:color w:val="0000FF"/>
          </w:rPr>
          <w:t>таблице 6.3</w:t>
        </w:r>
      </w:hyperlink>
      <w:r>
        <w:t xml:space="preserve"> площади этажей в пределах пожарных отсеков допускается увеличивать на 100%, за исключением зданий IV и V степеней огнестойкости.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размещении складов в производственных зданиях площадь этажа складских помещений в пред</w:t>
      </w:r>
      <w:r>
        <w:t xml:space="preserve">елах пожарного отсека и их высота (число этажей) не должны превышать значений, указанных в </w:t>
      </w:r>
      <w:hyperlink w:anchor="Par514" w:tooltip="Таблица 6.3" w:history="1">
        <w:r>
          <w:rPr>
            <w:color w:val="0000FF"/>
          </w:rPr>
          <w:t>таблице 6.3</w:t>
        </w:r>
      </w:hyperlink>
      <w:r>
        <w:t>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bookmarkStart w:id="8" w:name="Par514"/>
      <w:bookmarkEnd w:id="8"/>
      <w:r>
        <w:t>Таблица 6.3</w:t>
      </w:r>
    </w:p>
    <w:p w:rsidR="00000000" w:rsidRDefault="00B56B3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155"/>
        <w:gridCol w:w="2310"/>
        <w:gridCol w:w="2475"/>
        <w:gridCol w:w="1650"/>
        <w:gridCol w:w="1485"/>
        <w:gridCol w:w="1485"/>
      </w:tblGrid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Категория склада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Высота здания </w:t>
            </w:r>
            <w:hyperlink w:anchor="Par636" w:tooltip="&lt;*&gt; Высота здания в данной таблице измеряется от пола 1-го этажа до потолка верхнего этажа, включая технический; при переменной высоте потолка принимается средняя высота этажа. Высота одноэтажных зданий I, II и III степеней огнестойкости класса С0 не нормируется. Высоту одноэтажных зданий IV степени огнестойкости классов С0 и С1 следует принимать не более 25 м, классов С2 и С3 - не более 18 м (от пола до низа несущих конструкций покрытия на опоре)." w:history="1">
              <w:r>
                <w:rPr>
                  <w:color w:val="0000FF"/>
                </w:rPr>
                <w:t>&lt;*&gt;</w:t>
              </w:r>
            </w:hyperlink>
            <w:r>
              <w:t>, м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 зданий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 зданий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Площадь этажа в пределах пожарного отсека зданий,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одноэтажных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двухэтажных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многоэтажных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75 </w:t>
            </w:r>
            <w:hyperlink w:anchor="Par637" w:tooltip="&lt;**&gt; Мобильные зд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3500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75 </w:t>
            </w:r>
            <w:hyperlink w:anchor="Par637" w:tooltip="&lt;**&gt; Мобильные зд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2600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огр.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bookmarkStart w:id="9" w:name="Par636"/>
            <w:bookmarkEnd w:id="9"/>
            <w:r>
              <w:t>&lt;*&gt; Высота здания в данной таблице измеряется от пола 1-го этажа до потолка верхнего этажа, включая технический; при переменной высоте потолка принимается средняя высота этажа. Высота одноэтажных зданий I, II и III степеней огнестойкости класса С0 не норми</w:t>
            </w:r>
            <w:r>
              <w:t>руется. Высоту одноэтажных зданий IV степени огнестойкости классов С0 и С1 следует принимать не более 25 м, классов С2 и С3 - не более 18 м (от пола до низа несущих конструкций покрытия на опоре).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bookmarkStart w:id="10" w:name="Par637"/>
            <w:bookmarkEnd w:id="10"/>
            <w:r>
              <w:t>&lt;**&gt; Мобильные здания.</w:t>
            </w:r>
          </w:p>
        </w:tc>
      </w:tr>
    </w:tbl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6.2.2. Многоэтажные ск</w:t>
      </w:r>
      <w:r>
        <w:t>ладские здания категорий А, Б и В следует проектировать шириной не более 60 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6.2.3. Площадь первого этажа многоэтажного складского здания допускается принимать по нормам одноэтажного здания, если перекрытие над первым этажом является противопожарным 1-го</w:t>
      </w:r>
      <w:r>
        <w:t xml:space="preserve"> типа.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6.2.4. Складские здания стеллажного хранения категорий А, Б и В по взрывопожарной и пожарной опасности со стеллажами </w:t>
      </w:r>
      <w:r>
        <w:lastRenderedPageBreak/>
        <w:t>высотой более 5,5 м следует проектировать одноэтажными I - IV степеней огнестойкости класса С0.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6.2.5. Зда</w:t>
      </w:r>
      <w:r>
        <w:t>ния складов пиломатериалов должны быть одноэтажными, не ниже IV степени огнестойкости и классов конструктивной пожарной опасности С0 и С1.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6.2.6. Степень огнестойкости, класс конструктивной пожарной опасности и площадь этажа в пределах пожарного отсека для</w:t>
      </w:r>
      <w:r>
        <w:t xml:space="preserve"> зданий складов пиломатериалов следует принимать по </w:t>
      </w:r>
      <w:hyperlink w:anchor="Par646" w:tooltip="Таблица 6.4" w:history="1">
        <w:r>
          <w:rPr>
            <w:color w:val="0000FF"/>
          </w:rPr>
          <w:t>таблице 6.4</w:t>
        </w:r>
      </w:hyperlink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При оборудовании зданий и навесов складов лесоматериалов автоматическими установками пожаротушения указанные в </w:t>
      </w:r>
      <w:hyperlink w:anchor="Par646" w:tooltip="Таблица 6.4" w:history="1">
        <w:r>
          <w:rPr>
            <w:color w:val="0000FF"/>
          </w:rPr>
          <w:t>таб</w:t>
        </w:r>
        <w:r>
          <w:rPr>
            <w:color w:val="0000FF"/>
          </w:rPr>
          <w:t>лице 6.4</w:t>
        </w:r>
      </w:hyperlink>
      <w:r>
        <w:t xml:space="preserve"> площади этажа в пределах пожарного отсека допускается увеличивать на 100%, за исключением зданий и навесов IV степени огнестойкости всех классов конструктивной пожарной опасности, а также зданий и навесов V степени огнестойкости. При этом значе</w:t>
      </w:r>
      <w:r>
        <w:t>ния интенсивности и площади для расчета расхода воды или раствора пенообразователя следует увеличивать на 10%.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bookmarkStart w:id="11" w:name="Par646"/>
      <w:bookmarkEnd w:id="11"/>
      <w:r>
        <w:t>Таблица 6.4</w:t>
      </w:r>
    </w:p>
    <w:p w:rsidR="00000000" w:rsidRDefault="00B56B3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3300"/>
        <w:gridCol w:w="4125"/>
        <w:gridCol w:w="3135"/>
      </w:tblGrid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Категория здания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 здания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Площадь этажа в пределах пожарног</w:t>
            </w:r>
            <w:r>
              <w:t>о отсека зданий,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II, III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9600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4800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2400</w:t>
            </w:r>
          </w:p>
        </w:tc>
      </w:tr>
      <w:tr w:rsidR="0000000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</w:tr>
    </w:tbl>
    <w:p w:rsidR="00000000" w:rsidRDefault="00B56B3B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6.2.7. Степень огнестойкости и класс конструктивной пожарной опасности зданий холодильников следует принимать: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I и II, класса С0 - для пожарных отсеков емкостью более 700 т;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II, класса С1 - для пожарных отсеков емкостью от 250 до 700 т;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III, IV и V - для п</w:t>
      </w:r>
      <w:r>
        <w:t>ожарных отсеков емкостью до 250 т.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Суммарную емкость пожарных отсеков III и IV степеней огнестойкости и класса конструктивной пожарной опасности С0 следует принимать не более 5000 т.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Суммарную емкость пожарных отсеков III - V степеней огнестойкости классов</w:t>
      </w:r>
      <w:r>
        <w:t xml:space="preserve"> конструктивной пожарной опасности С1 - С3 следует принимать не более 2000 т.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проектировании зданий холодильников IV и V степеней огнестойкости и классов конструктивной пожарной опасности С1 - С3, предназначенных для хранения картофеля, овощей и фрукто</w:t>
      </w:r>
      <w:r>
        <w:t>в в горючей таре, допускается принимать емкость пожарных отсеков не более 3000 т, разделяя их противопожарными стенами 2-го типа на части емкостью не более 1000 т, при хранении картофеля и овощей россыпью - не более 5000 т, разделяя их противопожарными сте</w:t>
      </w:r>
      <w:r>
        <w:t>нами 2-го типа на части емкостью не более 3000 т.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Здания холодильников I и II степеней огнестойкости класса С0 допускается проектировать высотой до шести этажей включительно (но </w:t>
      </w:r>
      <w:r>
        <w:t>не более 28 м), здания холодильников других степеней огнестойкости - одноэтажными.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2"/>
      </w:pPr>
      <w:r>
        <w:t>6.3. Стоянки автомобилей (Ф5.2)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 xml:space="preserve">6.3.1. Требуемую степень огнестойкости, допустимые этажность и площадь этажа в пределах пожарного отсека для подземных автостоянок следует </w:t>
      </w:r>
      <w:r>
        <w:t>принимать по таблице 6.5.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r>
        <w:t>Таблица 6.5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65"/>
        <w:gridCol w:w="2640"/>
        <w:gridCol w:w="3135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lastRenderedPageBreak/>
              <w:t>Степень огнестойкости здания (сооружения)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 здания (сооружения)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Допустимое количество этажей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Площадь этажа в пределах пожарного отсека,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3000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3000</w:t>
            </w:r>
          </w:p>
        </w:tc>
      </w:tr>
    </w:tbl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6.3.2. Требуемую степень огнестойкости, допустимые этажность и площадь этажа надземной автос</w:t>
      </w:r>
      <w:r>
        <w:t>тоянки закрытого типа в пределах пожарного отсека следует принимать по таблице 6.6.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r>
        <w:t>Таблица 6.6</w:t>
      </w:r>
    </w:p>
    <w:p w:rsidR="00000000" w:rsidRDefault="00B56B3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3465"/>
        <w:gridCol w:w="1980"/>
        <w:gridCol w:w="2145"/>
        <w:gridCol w:w="2475"/>
      </w:tblGrid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 здания (сооружения)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 здания (сооружения)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Допустимое количество этажей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Площадь этажа в пределах пожарного отсека зданий,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одноэтажных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многоэтажных</w:t>
            </w:r>
          </w:p>
        </w:tc>
      </w:tr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6.3.3. Здания (сооружения) механизированных автостоянок могут предусматриваться надземными или подземными, класса конструктивной пожарной опасности не ниже С0 и степени огнестойкости не ниже IV.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Пристраивать надземные автостоянки к зданиям другого назначен</w:t>
      </w:r>
      <w:r>
        <w:t>ия допускается только к глухим стенам, имеющим предел огнестойкости не менее REI 150.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Площадь этажа в пределах пожарного отсека наземной автостоянки I и II степени огнестойкости не должна превышать 5200 м</w:t>
      </w:r>
      <w:r>
        <w:rPr>
          <w:vertAlign w:val="superscript"/>
        </w:rPr>
        <w:t>2</w:t>
      </w:r>
      <w:r>
        <w:t>; III степени огнестойкости - 3600 м</w:t>
      </w:r>
      <w:r>
        <w:rPr>
          <w:vertAlign w:val="superscript"/>
        </w:rPr>
        <w:t>2</w:t>
      </w:r>
      <w:r>
        <w:t>; IV степени о</w:t>
      </w:r>
      <w:r>
        <w:t>гнестойкости - 2000 м</w:t>
      </w:r>
      <w:r>
        <w:rPr>
          <w:vertAlign w:val="superscript"/>
        </w:rPr>
        <w:t>2</w:t>
      </w:r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открытых наземных механизированных автостоянках с выполнением несущих конструкций с пределом огнестойкости не менее R 45 допускается не предусматривать автоматическое и внутреннее (от пожарных кранов) пожаротушение, а также пожарн</w:t>
      </w:r>
      <w:r>
        <w:t>ую сигнализацию. При этом сооружение такой автостоянки должно быть оборудовано сухотрубом для целей внутреннего пожаротушения.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2"/>
      </w:pPr>
      <w:r>
        <w:t>6.4. Надземные стоянки открытого типа для легковых автомобилей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 xml:space="preserve">Требуемую степень огнестойкости, допустимые этажность и площадь </w:t>
      </w:r>
      <w:r>
        <w:t>этажа надземной автостоянки открытого типа в пределах пожарного отсека следует принимать но таблице 6.7.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r>
        <w:t>Таблица 6.7</w:t>
      </w:r>
    </w:p>
    <w:p w:rsidR="00000000" w:rsidRDefault="00B56B3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3465"/>
        <w:gridCol w:w="1980"/>
        <w:gridCol w:w="2145"/>
        <w:gridCol w:w="2475"/>
      </w:tblGrid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 здания (сооружения)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 здания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Допустимое количество этажей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Площадь этажа в пре</w:t>
            </w:r>
            <w:r>
              <w:t>делах пожарного отсека здания,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одноэтажных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многоэтажных</w:t>
            </w:r>
          </w:p>
        </w:tc>
      </w:tr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5200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7800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3600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lastRenderedPageBreak/>
              <w:t>IV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800</w:t>
            </w:r>
          </w:p>
        </w:tc>
      </w:tr>
    </w:tbl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2"/>
      </w:pPr>
      <w:r>
        <w:t>6.5. Жилые здания (дома)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6.5.1. Допустимую высоту здания класса Ф1.3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таблице 6.8.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bookmarkStart w:id="12" w:name="Par790"/>
      <w:bookmarkEnd w:id="12"/>
      <w:r>
        <w:t>Таблица 6.8</w:t>
      </w:r>
    </w:p>
    <w:p w:rsidR="00000000" w:rsidRDefault="00B56B3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3465"/>
        <w:gridCol w:w="2310"/>
        <w:gridCol w:w="4125"/>
      </w:tblGrid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 зда</w:t>
            </w:r>
            <w:r>
              <w:t>ния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 здания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Допустимая высота здания, 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Площадь этажа в пределах пожарного отсека,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</w:t>
            </w:r>
          </w:p>
        </w:tc>
      </w:tr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2200</w:t>
            </w:r>
          </w:p>
        </w:tc>
      </w:tr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1400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900</w:t>
            </w:r>
          </w:p>
        </w:tc>
      </w:tr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r>
              <w:t>Примечание. Степень огнестойкости здания с неотапливаемыми пристройками следует принимать по степени огнестойкости отапливаемой части здания.</w:t>
            </w:r>
          </w:p>
        </w:tc>
      </w:tr>
    </w:tbl>
    <w:p w:rsidR="00000000" w:rsidRDefault="00B56B3B">
      <w:pPr>
        <w:pStyle w:val="ConsPlusNormal"/>
        <w:ind w:firstLine="540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 xml:space="preserve">6.5.2. Здания I, II и III степеней огнестойкости допускается надстраивать одним мансардным этажом, расположенным независимо от высоты зданий, установленной в </w:t>
      </w:r>
      <w:hyperlink w:anchor="Par790" w:tooltip="Таблица 6.8" w:history="1">
        <w:r>
          <w:rPr>
            <w:color w:val="0000FF"/>
          </w:rPr>
          <w:t>таблице 6.8</w:t>
        </w:r>
      </w:hyperlink>
      <w:r>
        <w:t xml:space="preserve">, но не выше 75 м. Несущие элементы мансардного этажа должны иметь предел огнестойкости не менее R 45 и класс пожарной опасности К0. Ограждающие конструкции этого этажа должны отвечать требованиям, предъявляемым к конструкциям </w:t>
      </w:r>
      <w:r>
        <w:t>надстраиваемого здания.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применении деревянных конструкций следует использовать конструктивную огнезащиту, обеспечивающую указанные требования, - предел огнестойкости не менее R 45 и класс пожарной опасности К0.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6.5.3. Несущие элементы двухэтажных здани</w:t>
      </w:r>
      <w:r>
        <w:t>й IV степени огнестойкости должны иметь предел огнестойкости не менее R 30.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6.5.4. Класс пожарной опасности и предел огнестойкости внутриквартирных, в том числе шкафных, сборно-разборных, с дверными проемами и раздвижных перегородок не нормируются.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6.5.5. </w:t>
      </w:r>
      <w:r>
        <w:t>Несущие конструкции покрытия встроенно-пристроенной части должны иметь предел огнестойкости не менее R 45 и класс пожарной опасности К0. При наличии в жилом доме окон, ориентированных на встроенно-пристроенную часть здания, уровень кровли на расстоянии 6 м</w:t>
      </w:r>
      <w:r>
        <w:t xml:space="preserve"> от места примыкания не должен превышать отметки пола вышерасположенных жилых помещений основной части здания. Утеплитель в этом месте покрытия должен быть выполнен из материалов НГ.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6.5.6. Одноквартирные жилые дома, в том числе блокированные (класс функци</w:t>
      </w:r>
      <w:r>
        <w:t>ональной пожарной опасности Ф1.4), должны отвечать следующим требованиям: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в домах высотой три этажа основные конструкции должны соответствовать требованиям, предъявляемым к конструкциям зданий III степени огнестойкости;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предел огнестойкости внутрикварт</w:t>
      </w:r>
      <w:r>
        <w:t>ирных перегородок не регламентируется. Класс конструктивной пожарной опасности дома должен быть не ниже С2;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при площади этажа до 150 м</w:t>
      </w:r>
      <w:r>
        <w:rPr>
          <w:vertAlign w:val="superscript"/>
        </w:rPr>
        <w:t>2</w:t>
      </w:r>
      <w:r>
        <w:t xml:space="preserve"> допускается принимать предел огнестойкости несущих элементов не менее R 30, перекрытий - не менее REI 30;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дома высот</w:t>
      </w:r>
      <w:r>
        <w:t>ой четыре этажа должны быть не ниже III степени огнестойкости и класса конструктивной пожарной опасности не ниже С1;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строительные конструкции дома не должны способствовать скрытому распространению горения. Пустоты в стенах, перегородках, перекрытиях и по</w:t>
      </w:r>
      <w:r>
        <w:t>крытиях, образуемые элементами из материалов групп горючести Г3 и (или) Г4 и имеющие минимальный размер более 25 мм, а также пазухи чердаков и мансард следует разделять глухими диафрагмами на участки, размеры которых должны быть ограничены контуром огражда</w:t>
      </w:r>
      <w:r>
        <w:t>емого помещения. Глухие диафрагмы не должны выполняться из материалов групп горючести Г3 и (или) Г4;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к домам высотой до двух этажей включительно требования по степени огнестойкости и классу конструктивной пожарной опасности не предъявляются.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2"/>
      </w:pPr>
      <w:r>
        <w:t>6.6. Админи</w:t>
      </w:r>
      <w:r>
        <w:t>стративно-бытовые здания предприятий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 xml:space="preserve">6.6.1. Степень огнестойкости, класс конструктивной пожарной опасности, допустимую высоту зданий и площадь этажа в пределах пожарного отсека для административно-бытовых зданий предприятий и складов (отдельно стоящих зданий, пристроек и вставок класса Ф4.3) </w:t>
      </w:r>
      <w:r>
        <w:t xml:space="preserve">следует принимать по </w:t>
      </w:r>
      <w:hyperlink w:anchor="Par855" w:tooltip="Таблица 6.9" w:history="1">
        <w:r>
          <w:rPr>
            <w:color w:val="0000FF"/>
          </w:rPr>
          <w:t>таблице 6.9</w:t>
        </w:r>
      </w:hyperlink>
      <w:r>
        <w:t xml:space="preserve">. При определении степени огнестойкости здания следует учитывать высоту размещения аудиторий, актовых залов и конференц-залов по </w:t>
      </w:r>
      <w:hyperlink w:anchor="Par1164" w:tooltip="Таблица 6.14" w:history="1">
        <w:r>
          <w:rPr>
            <w:color w:val="0000FF"/>
          </w:rPr>
          <w:t>таблице 6.14</w:t>
        </w:r>
      </w:hyperlink>
      <w:r>
        <w:t>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bookmarkStart w:id="13" w:name="Par855"/>
      <w:bookmarkEnd w:id="13"/>
      <w:r>
        <w:t>Таблица 6.9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475"/>
        <w:gridCol w:w="1815"/>
        <w:gridCol w:w="825"/>
        <w:gridCol w:w="825"/>
        <w:gridCol w:w="825"/>
        <w:gridCol w:w="825"/>
        <w:gridCol w:w="990"/>
        <w:gridCol w:w="1320"/>
      </w:tblGrid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lastRenderedPageBreak/>
              <w:t>Степень огнестойкости здания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Допустимая высота здания, м</w:t>
            </w:r>
          </w:p>
        </w:tc>
        <w:tc>
          <w:tcPr>
            <w:tcW w:w="5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Площадь этажа в пределах пожарного отсека, м</w:t>
            </w:r>
            <w:r>
              <w:rPr>
                <w:vertAlign w:val="superscript"/>
              </w:rPr>
              <w:t>2</w:t>
            </w:r>
            <w:r>
              <w:t>, при числе этажей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4, 5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10 - 16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2200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С1 - С3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r>
              <w:t>1. Прочерк в таблице означает, что здание данной степени огнестойкости не может иметь указанное число этажей.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r>
              <w:t>2. В зданиях IV степени огнестойкости высотой два этажа несущие элементы здания должны иметь предел огнестойкости не ниже R 45.</w:t>
            </w:r>
          </w:p>
        </w:tc>
      </w:tr>
    </w:tbl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6.6.2. Здания I, II и III степеней огнестойкости высотой не более 28 м допускается надстраивать одним мансардным этажом с несущими элементами, имеющими предел огнестойкости не менее R 45 и класс пожарной опасности не ниже К0, при отделении его от нижних эт</w:t>
      </w:r>
      <w:r>
        <w:t>ажей противопожарным перекрытием не ниже 2-го типа. Ограждающие конструкции этого этажа должны отвечать требованиям, предъявляемым к конструкциям надстраиваемого здания.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этом мансардный этаж должен дополнительно разделяться противопожарными стенами 2-г</w:t>
      </w:r>
      <w:r>
        <w:t xml:space="preserve">о типа. Площадь между этими </w:t>
      </w:r>
      <w:r>
        <w:lastRenderedPageBreak/>
        <w:t>противопожарными стенами должна составлять: для зданий I и II степеней огнестойкости - не более 2000 м</w:t>
      </w:r>
      <w:r>
        <w:rPr>
          <w:vertAlign w:val="superscript"/>
        </w:rPr>
        <w:t>2</w:t>
      </w:r>
      <w:r>
        <w:t>, для зданий III степени огнестойкости - не более 1400 м</w:t>
      </w:r>
      <w:r>
        <w:rPr>
          <w:vertAlign w:val="superscript"/>
        </w:rPr>
        <w:t>2</w:t>
      </w:r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применении деревянных конструкций мансард следует предусматрив</w:t>
      </w:r>
      <w:r>
        <w:t>ать, как правило, конструктивную огнезащиту, обеспечивающую указанные требования.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2"/>
      </w:pPr>
      <w:r>
        <w:t>6.7. Общественные здания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6.7.1. Степень огнестойкости, класс конструктивной пожарной опасности, допустимую высоту зданий и площадь этажа в пределах пожарного отсека обществ</w:t>
      </w:r>
      <w:r>
        <w:t xml:space="preserve">енных зданий следует принимать по </w:t>
      </w:r>
      <w:hyperlink w:anchor="Par855" w:tooltip="Таблица 6.9" w:history="1">
        <w:r>
          <w:rPr>
            <w:color w:val="0000FF"/>
          </w:rPr>
          <w:t>таблице 6.9</w:t>
        </w:r>
      </w:hyperlink>
      <w:r>
        <w:t xml:space="preserve">, зданий предприятий бытового обслуживания (Ф3.5) - по </w:t>
      </w:r>
      <w:hyperlink w:anchor="Par961" w:tooltip="Таблица 6.10" w:history="1">
        <w:r>
          <w:rPr>
            <w:color w:val="0000FF"/>
          </w:rPr>
          <w:t>таблице 6.10</w:t>
        </w:r>
      </w:hyperlink>
      <w:r>
        <w:t xml:space="preserve">, предприятий торговли (Ф3.1) - по </w:t>
      </w:r>
      <w:hyperlink w:anchor="Par1010" w:tooltip="Таблица 6.11" w:history="1">
        <w:r>
          <w:rPr>
            <w:color w:val="0000FF"/>
          </w:rPr>
          <w:t>таблице 6.11</w:t>
        </w:r>
      </w:hyperlink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этом необходимо учитывать дополнительные требования, предусмотренные в настоящем разделе для зданий соответствующих классов функциональной пожарной опасности.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bookmarkStart w:id="14" w:name="Par961"/>
      <w:bookmarkEnd w:id="14"/>
      <w:r>
        <w:t>Таблица 6.10</w:t>
      </w:r>
    </w:p>
    <w:p w:rsidR="00000000" w:rsidRDefault="00B56B3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3465"/>
        <w:gridCol w:w="1980"/>
        <w:gridCol w:w="2145"/>
        <w:gridCol w:w="2475"/>
      </w:tblGrid>
      <w:tr w:rsidR="00000000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 здания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</w:t>
            </w:r>
            <w:r>
              <w:t>с конструктивной пожарной опасности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Допустимая высота здания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Площадь этажа в пределах пожарного отсека зданий,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одноэтажных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многоэтажных (не более 6 этажей)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lastRenderedPageBreak/>
              <w:t>IV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С2, С3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С1 - С3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bookmarkStart w:id="15" w:name="Par1010"/>
      <w:bookmarkEnd w:id="15"/>
      <w:r>
        <w:t>Таблица 6.11</w:t>
      </w:r>
    </w:p>
    <w:p w:rsidR="00000000" w:rsidRDefault="00B56B3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805"/>
        <w:gridCol w:w="2145"/>
        <w:gridCol w:w="1485"/>
        <w:gridCol w:w="1485"/>
        <w:gridCol w:w="1650"/>
      </w:tblGrid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 здания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Допустимая высота здания, м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Площадь этажа в пределах пожарного отсека зданий,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одноэтажных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двухэтажных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3 - 5-этажных</w:t>
            </w: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2500</w:t>
            </w: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С0 - С1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IV, V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С1 - С3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r>
              <w:t>1. В одноэтажных зданиях объектов торговли, за исключением объектов торговли лакокрасочными, строительными (отделочными) материалами, автозапчастями, принадлежностями для автомобилей, ковровыми изделиями, мебелью, III степени огнестойкости</w:t>
            </w:r>
            <w:r>
              <w:t xml:space="preserve"> площадь этажа между противопожарными стенами 1-го типа может быть увеличена вдвое, при условии отделения торгового зала от других помещений магазина противопожарной стеной 2-го типа.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r>
              <w:t>2. При размещении кладовых, служебных, бытовых и технических помещений н</w:t>
            </w:r>
            <w:r>
              <w:t>а верхних этажах зданий магазинов I и II степеней огнестойкости высота зданий может быть увеличена на один этаж.</w:t>
            </w:r>
          </w:p>
        </w:tc>
      </w:tr>
    </w:tbl>
    <w:p w:rsidR="00000000" w:rsidRDefault="00B56B3B">
      <w:pPr>
        <w:pStyle w:val="ConsPlusNormal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 xml:space="preserve">6.7.2. В зданиях I и II степеней огнестойкости класса конструктивной пожарной опасности С0 при наличии автоматического пожаротушения площадь этажа в пределах пожарного отсека может быть увеличена не более чем вдвое по отношению к установленным в </w:t>
      </w:r>
      <w:hyperlink w:anchor="Par855" w:tooltip="Таблица 6.9" w:history="1">
        <w:r>
          <w:rPr>
            <w:color w:val="0000FF"/>
          </w:rPr>
          <w:t>таблицах 6.9</w:t>
        </w:r>
      </w:hyperlink>
      <w:r>
        <w:t xml:space="preserve"> - </w:t>
      </w:r>
      <w:hyperlink w:anchor="Par1010" w:tooltip="Таблица 6.11" w:history="1">
        <w:r>
          <w:rPr>
            <w:color w:val="0000FF"/>
          </w:rPr>
          <w:t>6.11</w:t>
        </w:r>
      </w:hyperlink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6.7.3. Площадь этажа в пределах пожарного отсека одноэтажных зданий с двухэтажной частью, занимающей менее 15% площади застройки здания, следует принимать как для </w:t>
      </w:r>
      <w:r>
        <w:t xml:space="preserve">одноэтажных зданий в соответствии с </w:t>
      </w:r>
      <w:hyperlink w:anchor="Par855" w:tooltip="Таблица 6.9" w:history="1">
        <w:r>
          <w:rPr>
            <w:color w:val="0000FF"/>
          </w:rPr>
          <w:t>таблицами 6.9</w:t>
        </w:r>
      </w:hyperlink>
      <w:r>
        <w:t xml:space="preserve"> - </w:t>
      </w:r>
      <w:hyperlink w:anchor="Par1010" w:tooltip="Таблица 6.11" w:history="1">
        <w:r>
          <w:rPr>
            <w:color w:val="0000FF"/>
          </w:rPr>
          <w:t>6.11</w:t>
        </w:r>
      </w:hyperlink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6.7.4. В зданиях вокзалов I, II степеней огнестойкости класса С0 вместо противопожарных стен допускается устройство </w:t>
      </w:r>
      <w:r>
        <w:t>водяных дренчерных завес в две нити, расположенных на расстоянии 0,5 м и обеспечивающих интенсивность орошения не менее 1 л/с на 1 м длины завес при времени работы не менее 1 ч, а также противопожарных штор, экранов и иных устройств с пределом огнестойкост</w:t>
      </w:r>
      <w:r>
        <w:t>и не менее E 60. При этом указанные виды противопожарных преград должны размещаться в зоне, свободной от пожарной нагрузки на ширину не менее 4 м в обе стороны от преграды.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6.7.5. В зданиях аэровокзалов I степени огнестойкости площадь этажа между противопо</w:t>
      </w:r>
      <w:r>
        <w:t>жарными стенами может быть увеличена до 10 000 м</w:t>
      </w:r>
      <w:r>
        <w:rPr>
          <w:vertAlign w:val="superscript"/>
        </w:rPr>
        <w:t>2</w:t>
      </w:r>
      <w:r>
        <w:t>, если в подвальных (цокольных) этажах не располагаются склады, кладовые и другие помещения с наличием горючих материалов (кроме камер хранения, гардеробных персонала и помещений категорий В4 и Д). Камеры хр</w:t>
      </w:r>
      <w:r>
        <w:t>анения (кроме оборудованных ароматическими ячейками) и гардеробные следует отделять от остальных помещений подвала противопожарными перегородками 1-го типа и оборудовать установками автоматического пожаротушения, а командно-диспетчерские пункты - противопо</w:t>
      </w:r>
      <w:r>
        <w:t>жарными перегородками 1-го типа (в том числе светопрозрачными).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6.7.6. В зданиях вокзалов и аэровокзалов I степени огнестойкости класса С0, оборудованных установками автоматического пожаротушения, площадь этажа между противопожарными стенами не нормируется</w:t>
      </w:r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6.7.7. Степень огнестойкости пристроенных к зданию навесов, террас и галерей допускается принимать на одну величину ниже, чем степень огнестойкости здания. При этом класс конструктивной пожарной опасности навесов, террас и галерей должен быть равен класс</w:t>
      </w:r>
      <w:r>
        <w:t>у конструктивной пожарной опасности здания.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этом случае степень огнестойкости здания с навесом, террасой и галереей определяется по степени огнестойкости здания, а площадь этажа в пределах пожарного отсека - с учетом площади навесов, террас и галерей.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</w:t>
      </w:r>
      <w:r>
        <w:t>7.8. В спортивных залах, залах крытых катков и залах ванн бассейнов (с местами для зрителей и без них), а также в залах для подготовительных занятий бассейнов и огневых зонах крытых тиров (в том числе размещаемых под трибунами или встроенных в другие общес</w:t>
      </w:r>
      <w:r>
        <w:t xml:space="preserve">твенные здания) при превышении их площади по отношению к установленной в </w:t>
      </w:r>
      <w:hyperlink w:anchor="Par855" w:tooltip="Таблица 6.9" w:history="1">
        <w:r>
          <w:rPr>
            <w:color w:val="0000FF"/>
          </w:rPr>
          <w:t>таблице 6.9</w:t>
        </w:r>
      </w:hyperlink>
      <w:r>
        <w:t xml:space="preserve"> противопожарные стены следует предусматривать между зальными (в тирах - огневой зоной со стрелковой галереей) и другими помещениями</w:t>
      </w:r>
      <w:r>
        <w:t xml:space="preserve">. В помещениях вестибюлей и фойе при превышении их площади по отношению к установленной в </w:t>
      </w:r>
      <w:hyperlink w:anchor="Par855" w:tooltip="Таблица 6.9" w:history="1">
        <w:r>
          <w:rPr>
            <w:color w:val="0000FF"/>
          </w:rPr>
          <w:t>таблице 6.9</w:t>
        </w:r>
      </w:hyperlink>
      <w:r>
        <w:t xml:space="preserve"> вместо противопожарных стен можно предусматривать светопрозрачные противопожарные перегородки 2-го типа.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lastRenderedPageBreak/>
        <w:t>6.7.9. Зд</w:t>
      </w:r>
      <w:r>
        <w:t>ания классов Ф1.2 и Ф4.2 - Ф4.3 I, II и III степеней огнестойкости, высотой не более 28 м допускается надстраивать одним мансардным этажом с несущими элементами, имеющими предел огнестойкости не менее R 45 и класс пожарной опасности К0, при отделении его о</w:t>
      </w:r>
      <w:r>
        <w:t>т нижних этажей противопожарным перекрытием не ниже 2-го типа. Ограждающие конструкции этого этажа должны отвечать требованиям, предъявляемым к конструкциям надстраиваемого здания.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При этом мансардный этаж должен дополнительно разделяться противопожарными </w:t>
      </w:r>
      <w:r>
        <w:t>стенами 2-го типа. Площадь между этими противопожарными стенами должна составлять: для зданий I и II степеней огнестойкости - не более 2000 м</w:t>
      </w:r>
      <w:r>
        <w:rPr>
          <w:vertAlign w:val="superscript"/>
        </w:rPr>
        <w:t>2</w:t>
      </w:r>
      <w:r>
        <w:t>, для зданий III степени огнестойкости - не более 1400 м</w:t>
      </w:r>
      <w:r>
        <w:rPr>
          <w:vertAlign w:val="superscript"/>
        </w:rPr>
        <w:t>2</w:t>
      </w:r>
      <w:r>
        <w:t>. При наличии на мансардном этаже установок автоматическо</w:t>
      </w:r>
      <w:r>
        <w:t>го пожаротушения эта площадь может быть увеличена не более чем в 1,2 раза.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применении деревянных конструкций мансард следует предусматривать, как правило, конструктивную огнезащиту, обеспечивающую указанные требования.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6.7.10. Степень огнестойкости, класс конструктивной пожарной опасности и наибольшую высоту зданий детских дошкольных учреждений общего типа (Ф1.1) следует принимать в зависимости от наибольшего числа мест в здании по таблице 6.12.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r>
        <w:t>Таблица 6.12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970"/>
        <w:gridCol w:w="3465"/>
        <w:gridCol w:w="3630"/>
      </w:tblGrid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lastRenderedPageBreak/>
              <w:t>Число мест в здании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 здания, не ниже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Допустимая высота здания, м (этажность)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3 </w:t>
            </w:r>
            <w:hyperlink w:anchor="Par1087" w:tooltip="&lt;*&gt; В районах Крайнего Севера высота одноэтажного здания на свайном основании должна быть не более 5 м." w:history="1">
              <w:r>
                <w:rPr>
                  <w:color w:val="0000FF"/>
                </w:rPr>
                <w:t>&lt;*&gt;</w:t>
              </w:r>
            </w:hyperlink>
            <w:r>
              <w:t xml:space="preserve"> (1)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3 </w:t>
            </w:r>
            <w:hyperlink w:anchor="Par1087" w:tooltip="&lt;*&gt; В районах Крайнего Севера высота одноэтажного здания на свайном основании должна быть не более 5 м." w:history="1">
              <w:r>
                <w:rPr>
                  <w:color w:val="0000FF"/>
                </w:rPr>
                <w:t>&lt;*&gt;</w:t>
              </w:r>
            </w:hyperlink>
            <w:r>
              <w:t xml:space="preserve"> (1)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3 </w:t>
            </w:r>
            <w:hyperlink w:anchor="Par1087" w:tooltip="&lt;*&gt; В районах Крайнего Севера высота одноэтажного здания на свайном основании должна быть не более 5 м." w:history="1">
              <w:r>
                <w:rPr>
                  <w:color w:val="0000FF"/>
                </w:rPr>
                <w:t>&lt;*&gt;</w:t>
              </w:r>
            </w:hyperlink>
            <w:r>
              <w:t xml:space="preserve"> (1)</w:t>
            </w:r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 (2)</w:t>
            </w:r>
          </w:p>
        </w:tc>
      </w:tr>
      <w:tr w:rsidR="00000000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350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9 (3)</w:t>
            </w:r>
          </w:p>
        </w:tc>
      </w:tr>
      <w:tr w:rsidR="00000000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С0, С1</w:t>
            </w: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bookmarkStart w:id="16" w:name="Par1087"/>
            <w:bookmarkEnd w:id="16"/>
            <w:r>
              <w:t>&lt;*&gt; В районах Крайнего Севера высота одноэтажного здания на свайном основании должна быть не более 5 м.</w:t>
            </w:r>
          </w:p>
        </w:tc>
      </w:tr>
    </w:tbl>
    <w:p w:rsidR="00000000" w:rsidRDefault="00B56B3B">
      <w:pPr>
        <w:pStyle w:val="ConsPlusNormal"/>
        <w:ind w:firstLine="540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6.7.11. Стены с внутренней стороны, перегородки и перекрытия зданий дошкольных образовательных учреждений, детских оздоровительных учреждений и лечебных корпусов со стационаром (класс Ф1.1), амбулаторно-поликлинических учреждений (класс Ф3.4) и клубов (кла</w:t>
      </w:r>
      <w:r>
        <w:t>сс Ф2.1) в зданиях класса конструктивной пожарной опасности С1 - С3, в том числе с применением деревянных конструкций, должны иметь класс пожарной опасности не ниже К0 (15).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6.7.12. Трехэтажные здания детских дошкольных учреждений должны быть не ниже II ст</w:t>
      </w:r>
      <w:r>
        <w:t>епени огнестойкости независимо от числа мест в здании. Коридоры, соединяющие лестничные клетки, необходимо разделять противопожарными дверями 3-го типа. Входные двери групповых ячеек должны быть выполнены с уплотнением в притворах.</w:t>
      </w:r>
    </w:p>
    <w:p w:rsidR="00000000" w:rsidRDefault="00B56B3B">
      <w:pPr>
        <w:pStyle w:val="ConsPlusNormal"/>
        <w:jc w:val="both"/>
      </w:pPr>
      <w:r>
        <w:t>(п. 6.7.12 в ред. Измене</w:t>
      </w:r>
      <w:r>
        <w:t>ния N 1, утв. Приказом МЧС России от 23.10.2013 N 678)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6.7.13. Здания специализированных дошкольных учреждений, а также для детей с нарушением зрения независимо от числа мест следует проектировать класса конструктивной пожарной опасности С0 не ниже II степ</w:t>
      </w:r>
      <w:r>
        <w:t>ени огнестойкости и высотой не более двух этажей.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6.7.14. Пристроенные прогулочные веранды детских дошкольных учреждений следует проектировать той же степени огнестойкости и того же класса конструктивной пожарной опасности, что и основные здания.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6.7.15. С</w:t>
      </w:r>
      <w:r>
        <w:t>тепень огнестойкости, класс конструктивной пожарной опасности и наибольшую высоту зданий школ (общеобразовательных и дополнительного образования детей), учебных корпусов школ-интернатов, учреждений начального образования (Ф4.1), а также спальных корпусов ш</w:t>
      </w:r>
      <w:r>
        <w:t xml:space="preserve">кол-интернатов и интернатов при школах (Ф1.1) следует принимать в зависимости от числа учащихся или мест в здании по </w:t>
      </w:r>
      <w:hyperlink w:anchor="Par1100" w:tooltip="Таблица 6.13" w:history="1">
        <w:r>
          <w:rPr>
            <w:color w:val="0000FF"/>
          </w:rPr>
          <w:t>таблице 6.13</w:t>
        </w:r>
      </w:hyperlink>
      <w:r>
        <w:t xml:space="preserve">. Максимальная площадь этажа здания определяется по </w:t>
      </w:r>
      <w:hyperlink w:anchor="Par855" w:tooltip="Таблица 6.9" w:history="1">
        <w:r>
          <w:rPr>
            <w:color w:val="0000FF"/>
          </w:rPr>
          <w:t>таблице 6.9</w:t>
        </w:r>
      </w:hyperlink>
      <w:r>
        <w:t>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Строительство зданий школ, учебных корпусов школ-интернатов, учреждений начального профессионального образования, а также спальных корпусов школ-интернатов и интернатов при школах высотой более 9 м допускается при условии их оборудовани</w:t>
      </w:r>
      <w:r>
        <w:t>я автоматической пожарной сигнализацией с дополнительной автоматической передачей сигнала о пожаре непосредственно в ЦУС по телекоммуникационным линиям проводной или беспроводной связи. Размещение указанных зданий должно определяться исходя из условия, что</w:t>
      </w:r>
      <w:r>
        <w:t xml:space="preserve">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 Проезды и подъезды к данным зданиям следует проектировать исходя из необходимости обеспечения </w:t>
      </w:r>
      <w:r>
        <w:t>доступа пожарных подразделений с автолестниц или автоподъемников непосредственно в каждое помещение, имеющее оконные проемы на фасаде.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Для проектируемых четырехэтажных, а также реконструируемых пятиэтажных зданий школ не менее 50% лестничных клеток следует</w:t>
      </w:r>
      <w:r>
        <w:t xml:space="preserve"> предусматривать незадымляемыми. В случае невозможности устройства незадымляемых лестничных клеток, в дополнение к расчетному количеству лестничных клеток, следует предусматривать устройство наружных открытых лестниц. Количество наружных открытых лестниц с</w:t>
      </w:r>
      <w:r>
        <w:t>ледует принимать: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одна лестница при расчетном количестве учащихся и персонала на этаже выше второго до 100 человек;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lastRenderedPageBreak/>
        <w:t>не менее одной лестницы на каждые 100 человек при расчетном количестве учащихся и персонала на этаже выше второго более 100 человек.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bookmarkStart w:id="17" w:name="Par1100"/>
      <w:bookmarkEnd w:id="17"/>
      <w:r>
        <w:t>Таблица 6.13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65"/>
        <w:gridCol w:w="3135"/>
        <w:gridCol w:w="2640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lastRenderedPageBreak/>
              <w:t>Число учащихся или мест в здании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огнестойкости, не ниже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Допустимая высота здания, м (этажность)</w:t>
            </w:r>
          </w:p>
        </w:tc>
      </w:tr>
      <w:tr w:rsidR="00000000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270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3 </w:t>
            </w:r>
            <w:hyperlink w:anchor="Par1156" w:tooltip="&lt;*&gt; В районах Крайнего Севера высота одноэтажного здания на свайном основании должна быть не более 5 м." w:history="1">
              <w:r>
                <w:rPr>
                  <w:color w:val="0000FF"/>
                </w:rPr>
                <w:t>&lt;*&gt;</w:t>
              </w:r>
            </w:hyperlink>
            <w:r>
              <w:t xml:space="preserve"> (1)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3 </w:t>
            </w:r>
            <w:hyperlink w:anchor="Par1156" w:tooltip="&lt;*&gt; В районах Крайнего Севера высота одноэтажного здания на свайном основании должна быть не более 5 м." w:history="1">
              <w:r>
                <w:rPr>
                  <w:color w:val="0000FF"/>
                </w:rPr>
                <w:t>&lt;*&gt;</w:t>
              </w:r>
            </w:hyperlink>
            <w:r>
              <w:t xml:space="preserve"> (1)</w:t>
            </w:r>
          </w:p>
        </w:tc>
      </w:tr>
      <w:tr w:rsidR="00000000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350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 (2)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 (2)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600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11 (3)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1600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11 (3)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15 (4)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  <w:outlineLvl w:val="4"/>
            </w:pPr>
            <w:r>
              <w:t>Спальные корпуса</w:t>
            </w:r>
          </w:p>
        </w:tc>
      </w:tr>
      <w:tr w:rsidR="00000000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60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3 </w:t>
            </w:r>
            <w:hyperlink w:anchor="Par1156" w:tooltip="&lt;*&gt; В районах Крайнего Севера высота одноэтажного здания на свайном основании должна быть не более 5 м." w:history="1">
              <w:r>
                <w:rPr>
                  <w:color w:val="0000FF"/>
                </w:rPr>
                <w:t>&lt;*&gt;</w:t>
              </w:r>
            </w:hyperlink>
            <w:r>
              <w:t xml:space="preserve"> (1)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С1 - С3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140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3 </w:t>
            </w:r>
            <w:hyperlink w:anchor="Par1156" w:tooltip="&lt;*&gt; В районах Крайнего Севера высота одноэтажного здания на свайном основании должна быть не более 5 м." w:history="1">
              <w:r>
                <w:rPr>
                  <w:color w:val="0000FF"/>
                </w:rPr>
                <w:t>&lt;*&gt;</w:t>
              </w:r>
            </w:hyperlink>
            <w:r>
              <w:t xml:space="preserve"> (1)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200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 xml:space="preserve">3 </w:t>
            </w:r>
            <w:hyperlink w:anchor="Par1156" w:tooltip="&lt;*&gt; В районах Крайнего Севера высота одноэтажного здания на свайном основании должна быть не более 5 м." w:history="1">
              <w:r>
                <w:rPr>
                  <w:color w:val="0000FF"/>
                </w:rPr>
                <w:t>&lt;*&gt;</w:t>
              </w:r>
            </w:hyperlink>
            <w:r>
              <w:t xml:space="preserve"> (1)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280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7 (2)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15 (4)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r>
              <w:t>Примечание - Для указанных зданий должна быть предусмотрена возможность установки ручных выдвижных пожарных лестниц.</w:t>
            </w:r>
          </w:p>
        </w:tc>
      </w:tr>
      <w:tr w:rsidR="00000000">
        <w:tc>
          <w:tcPr>
            <w:tcW w:w="12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bookmarkStart w:id="18" w:name="Par1156"/>
            <w:bookmarkEnd w:id="18"/>
            <w:r>
              <w:t>&lt;*&gt; В районах Крайнего Севера высота одноэтажного здания на свайном основании должна быть не более 5 м.</w:t>
            </w:r>
          </w:p>
        </w:tc>
      </w:tr>
    </w:tbl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На четвертом этаже зданий школ и учебных корпусов школ-интернатов не допускается размещать помещения для начальных классов, а остальных учебных помеще</w:t>
      </w:r>
      <w:r>
        <w:t>ний - более 25%.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Надстройка указанных зданий мансардным этажом при реконструкции допускается в пределах нормируемой этажности. При этом на мансардном этаже не допускается размещать спальные помещения.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Здания учебных корпусов среднего профессионального (Ф 4</w:t>
      </w:r>
      <w:r>
        <w:t>.1) и высшего профессионального образования (Ф 4.2) допускается проектировать высотой не более 28 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6.7.16. Здания специализированных школ и школ-интернатов (для детей с нарушением физического и умственного развитая) должны быть не выше 9 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6.7.17. Высот</w:t>
      </w:r>
      <w:r>
        <w:t>у размещения аудиторий, актовых залов, конференц-залов и зальных помещений спортивных сооружений без зрительских мест следует принимать по таблице 6.14 с учетом степени огнестойкости, класса конструктивной пожарной опасности здания и вместимости зала.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bookmarkStart w:id="19" w:name="Par1164"/>
      <w:bookmarkEnd w:id="19"/>
      <w:r>
        <w:t>Таблица 6.14</w:t>
      </w:r>
    </w:p>
    <w:p w:rsidR="00000000" w:rsidRDefault="00B56B3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65"/>
        <w:gridCol w:w="3135"/>
        <w:gridCol w:w="2640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 здания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 здания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Число мест в зале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Допустимая высота размещения зала, м</w:t>
            </w:r>
          </w:p>
        </w:tc>
      </w:tr>
      <w:tr w:rsidR="00000000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I, 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300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600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Более 600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300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600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С0 - С3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r>
              <w:lastRenderedPageBreak/>
              <w:t>Примечания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r>
              <w:t>1. Предельная высота размещения зала определяется высотой расположения этажа, соответствующего нижнему ряду мест.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r>
              <w:t>2. В зданиях детских дошкольных образовательных учреждений, специализированных домов престарелых и инвалидов (неквартирны</w:t>
            </w:r>
            <w:r>
              <w:t>е), больницы, спальные корпуса образовательных учреждений интернатного типа и детских учреждений, детских оздоровительных учреждений (Ф1.1), школ (Ф4.1) не допускается размещение указанных залов выше второго этажа.</w:t>
            </w:r>
          </w:p>
        </w:tc>
      </w:tr>
    </w:tbl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6.7.18. Степень огнестойкости, класс ко</w:t>
      </w:r>
      <w:r>
        <w:t>нструктивной пожарной опасности и наибольшую высоту зданий зрелищных и культурно-просветительных учреждений класса функциональной пожарной опасности Ф2.1 и Ф2.2 следует принимать в зависимости от их вместимости по таблице 6.15.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jc w:val="both"/>
        <w:outlineLvl w:val="3"/>
      </w:pPr>
      <w:r>
        <w:t>Таблица 6.15</w:t>
      </w:r>
    </w:p>
    <w:p w:rsidR="00000000" w:rsidRDefault="00B56B3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145"/>
        <w:gridCol w:w="2145"/>
        <w:gridCol w:w="2640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функцио</w:t>
            </w:r>
            <w:r>
              <w:t>нальной пожарной опасности здания (сооружения)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Степень огнестойкости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Класс конструктивной пожарной опасности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Допустимая высота здания, м (этажность)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Наибольшая вместимость зала или сооружения, мест</w:t>
            </w:r>
          </w:p>
        </w:tc>
      </w:tr>
      <w:tr w:rsidR="00000000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Ф2.1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9 (3)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800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 (2)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600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 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400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IV, V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С0 - С3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 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300</w:t>
            </w:r>
          </w:p>
        </w:tc>
      </w:tr>
      <w:tr w:rsidR="00000000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Ф2.2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Не норм.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800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600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9 (3)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400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6 (2)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300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IV, V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С0 - С3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3 (1)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jc w:val="center"/>
            </w:pPr>
            <w:r>
              <w:t>До 300</w:t>
            </w:r>
          </w:p>
        </w:tc>
      </w:tr>
      <w:tr w:rsidR="00000000">
        <w:tc>
          <w:tcPr>
            <w:tcW w:w="1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B3B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r>
              <w:t>1. В зданиях класса Ф2.1 предельная высота размещения зала, определяемая высотой этажа, соответствующего нижнему ряду мест, не должна превышать 9 м для залов вместимостью более 600 мест.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r>
              <w:t>В зданиях I степени огнестойкости класса С0 допускается размещать зал</w:t>
            </w:r>
            <w:r>
              <w:t>ы вместимостью до 300 мест на высоте не более 28 м, 150 мест - на более высоких отметках.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r>
              <w:t>2. В зданиях класса Ф2.2 предельная высота размещения зала, определяемая высотой расположения соответствующего этажа, не должна превышать 9 м для танцевальных залов в</w:t>
            </w:r>
            <w:r>
              <w:t>местимостью более 400 мест, а остальных залов - вместимостью более 600 мест.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r>
              <w:t>В зданиях I степени огнестойкости класса С0 допускается размещать залы вместимостью до 400 мест на высоте не более 28 м, 200 мест - на более высоких отметках.</w:t>
            </w:r>
          </w:p>
          <w:p w:rsidR="00000000" w:rsidRDefault="00B56B3B">
            <w:pPr>
              <w:pStyle w:val="ConsPlusNormal"/>
              <w:ind w:firstLine="283"/>
              <w:jc w:val="both"/>
            </w:pPr>
            <w:r>
              <w:t xml:space="preserve">3. При блокировании </w:t>
            </w:r>
            <w:r>
              <w:t>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2-го типа.</w:t>
            </w:r>
          </w:p>
        </w:tc>
      </w:tr>
    </w:tbl>
    <w:p w:rsidR="00000000" w:rsidRDefault="00B56B3B">
      <w:pPr>
        <w:pStyle w:val="ConsPlusNormal"/>
        <w:ind w:firstLine="540"/>
        <w:jc w:val="both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  <w:r>
        <w:t>При определении вместимости залов следует суммировать стационарные и временные места для зрителей, предусмотренные проектом трансформации зала.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размещении в кинотеатре нескольких залов их суммарная вместимость не должна превышать указанную в таблице.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Несущие конструкции покрытий над сценой и залом (фермы, балки) в зданиях театров, клубов и спортивных сооружений следует проектировать в соответс</w:t>
      </w:r>
      <w:r>
        <w:t>твии с требованиями, предъявляемыми к несущим элементам здания.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Для одноэтажных зданий I и II степени огнестойкости допускается применение несущих конструкций покрытий залов с пределом огнестойкости не менее R 60. Указанные конструкции допускается выполнят</w:t>
      </w:r>
      <w:r>
        <w:t>ь из древесины, подвергнутой обработке огнезащитными составами I группы огнезащитной эффективности по ГОСТ Р 53292. При этом вместимость зала может быть не более 4 тыс. мест для спортивных сооружений с трибунами и не более 800 мест в других случаях, а оста</w:t>
      </w:r>
      <w:r>
        <w:t>льные конструкции должны соответствовать требованиям, предъявляемым для зданий класса С0.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6.7.19. Лечебные учреждения, в том числе входящие в состав зданий иного функционального назначения (школ, детских дошкольных учреждений, санаториев и т.п.), следует п</w:t>
      </w:r>
      <w:r>
        <w:t>роектировать в соответствии со следующими требованиями.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Здания больниц (Ф1.1), амбулаторно-поликлинических учреждений (Ф3.4) следует проектировать не выше 28 м. Степень огнестойкости этих зданий должна быть не ниже II, класс конструктивной пожарной опаснос</w:t>
      </w:r>
      <w:r>
        <w:t>ти - не ниже С0.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3"/>
      </w:pPr>
      <w:r>
        <w:t>Больницы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Здания стационаров высотой до трех этажей включительно необходимо разделять на пожарные секции площадью не более 1000 м</w:t>
      </w:r>
      <w:r>
        <w:rPr>
          <w:vertAlign w:val="superscript"/>
        </w:rPr>
        <w:t>2</w:t>
      </w:r>
      <w:r>
        <w:t>, выше трех этажей - на секции площадью не более 800 м</w:t>
      </w:r>
      <w:r>
        <w:rPr>
          <w:vertAlign w:val="superscript"/>
        </w:rPr>
        <w:t>2</w:t>
      </w:r>
      <w:r>
        <w:t xml:space="preserve"> противопожарными перегородками 1-го типа.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Лечебные ко</w:t>
      </w:r>
      <w:r>
        <w:t>рпуса психиатрических больниц и диспансеров должны быть высотой не более 9 м, не ниже II степени огнестойкости класса конструктивной пожарной опасности С0.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сельской местности здания лечебных учреждений на 60 и менее коек и амбулаторно-поликлинических учр</w:t>
      </w:r>
      <w:r>
        <w:t>еждений на 90 посещений в смену допускается предусматривать с рублеными или брусчатыми стенами.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Операционные блоки, отделения реанимации и интенсивной терапии должны располагаться в самостоятельных пожарных отсеках. Указанные блоки в два этажа и более долж</w:t>
      </w:r>
      <w:r>
        <w:t>ны иметь лифты для транспортирования пожарных подразделений, приспособленные для перевозки немобильных больных.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Палатные отделения детских больниц и корпусов (в том числе палаты для детей со взрослыми) следует размещать не выше пятого этажа здания, палаты </w:t>
      </w:r>
      <w:r>
        <w:t xml:space="preserve">для детей в возрасте до семи лет и детские психиатрические отделения (палаты), неврологические отделения для больных со </w:t>
      </w:r>
      <w:r>
        <w:lastRenderedPageBreak/>
        <w:t>спинно-мозговой травмой и т.д. - не выше второго этажа.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Допускается размещать палаты для детей в возрасте до семи лет не выше пятого эта</w:t>
      </w:r>
      <w:r>
        <w:t>жа при условии устройства в здании (корпусе) противодымной защиты и автоматического пожаротушения.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В перинатальных центрах размещение палат допускается не выше четвертого этажа, а дородовых палат - не выше третьего этажа.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Дома для престарелых и инвалидов с</w:t>
      </w:r>
      <w:r>
        <w:t>ледует проектировать в соответствии с требованиями, предъявляемыми к стационарам лечебных учреждений.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  <w:outlineLvl w:val="3"/>
      </w:pPr>
      <w:r>
        <w:t>Поликлиники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Лечебно-профилактические учреждения без стационаров допускается размещать в одноэтажных зданиях III степени огнестойкости класса конструктивн</w:t>
      </w:r>
      <w:r>
        <w:t>ой пожарной опасности С0.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Здания амбулаторно-поликлинические для обслуживания детей допускается проектировать не выше: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- 6 этажей (18 м) - в крупных и крупнейших городах;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- 5 этажей (15 м) - в остальных случаях. При этом на верхнем этаже допускается размещ</w:t>
      </w:r>
      <w:r>
        <w:t>ать только помещения административно-бытового назначения или персонала учреждения.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6.7.20. Здания учреждений отдыха летнего функционирования V степени огнестойкости, а также здания детских оздоровительных учреждений и санаториев IV и V степеней огнестойкос</w:t>
      </w:r>
      <w:r>
        <w:t>ти следует проектировать только одноэтажными.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Здания летних детских оздоровительных лагерей и туристские хижины следует проектировать высотой не более двух этажей, здания детских оздоровительных лагерей круглогодичного использовании - не более трех этажей </w:t>
      </w:r>
      <w:r>
        <w:t>вне зависимости от степени огнестойкости и класса конструктивной пожарной опасности.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В оздоровительных лагерях спальные помещения следует объединять в отдельные группы по 40 мест. Данные помещения должны иметь самостоятельные эвакуационные выходы. Один из </w:t>
      </w:r>
      <w:r>
        <w:t>выходов может быть объединен с лестничной клеткой. Спальные помещения оздоровительных лагерей в отдельных зданиях или отдельных частях зданий должны быть не более чем на 160 мест.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6.7.21. Трибуны любой вместимости сооружений класса Ф2.3 с использованием по</w:t>
      </w:r>
      <w:r>
        <w:t>дтрибунного пространства при размещении в нем вспомогательных помещений на двух и более этажах должны проектироваться не ниже I степени огнестойкости класса конструктивной пожарной опасности С0. Перекрытия под трибунами должны быть противопожарными 2-го ти</w:t>
      </w:r>
      <w:r>
        <w:t>па.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 одноэтажном размещении вспомогательных помещений в подтрибунном пространстве или при числе рядов для зрителей на трибунах более 20 несущие конструкции трибун должны</w:t>
      </w:r>
      <w:r>
        <w:t xml:space="preserve"> иметь предел огнестойкости не менее R 45, класс пожарной опасности К0, а перекрытия под трибунами должны быть противопожарными 3-го типа.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lastRenderedPageBreak/>
        <w:t>Несущие конструкции трибун спортивных сооружений (Ф2.3) без использования подтрибунного пространства и с числом рядов</w:t>
      </w:r>
      <w:r>
        <w:t xml:space="preserve"> более 5 должны быть выполнены из негорючих материалов с пределом огнестойкости не менее R 15. При этом не допускается размещение под трибунами горючих веществ и материалов.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6.7.22. В крытых спортивных сооружениях несущие конструкции стационарных трибун (п</w:t>
      </w:r>
      <w:r>
        <w:t>од которыми не предусмотрено размещение помещений) вместимостью более 600 зрителей следует выполнять с пределом огнестойкости не менее R 60 класса пожарной опасности К0; от 300 до 600 зрителей - R 45 и К0; а менее 300 зрителей - R 15 и К0, К1.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Предел огнес</w:t>
      </w:r>
      <w:r>
        <w:t>тойкости несущих конструкций трансформируемых трибун (выдвижных и т.п.) независимо от вместимости должен быть не менее R 15.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Приведенные требования не распространяются на временные зрительские места, устанавливаемые на полу арены при ее трансформации.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</w:t>
      </w:r>
      <w:r>
        <w:t>23. Здания библиотек и архивов следует проектировать не выше 28 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6.7.24. Здания санаториев, учреждений отдыха и туризма (за исключением гостиниц) следует проектировать не выше 28 м.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Степень огнестойкости спальных корпусов санаториев высотой более двух эт</w:t>
      </w:r>
      <w:r>
        <w:t>ажей должна быть не ниже II, класс конструктивной пожарной опасности - С0.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Двухэтажные спальные корпуса санаториев допускается проектировать III степени огнестойкости класса конструктивной пожарной опасности С0.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Число мест в жилых корпусах санаториев и учр</w:t>
      </w:r>
      <w:r>
        <w:t>еждений отдыха и туризма I и II степеней огнестойкости класса пожарной опасности С0 не должно превышать 1000; III степени огнестойкости класса пожарной опасности С0 - 150; остальных степеней огнестойкости - 50.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Спальные помещения, предназначенные для разме</w:t>
      </w:r>
      <w:r>
        <w:t xml:space="preserve">щения семей с детьми, следует размещать в отдельных зданиях или отдельных частях зданий, выделенных противопожарными перегородками I типа, высотой не более шести этажей, имеющих изолированные от других частей зданий эвакуационные выходы. При этом спальные </w:t>
      </w:r>
      <w:r>
        <w:t>помещения должны иметь аварийный выход, соответствующий одному из следующих требований: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выход должен вести на балкон или лоджию с глухим простенком не менее 1,2 метра от торца балкона (лоджии) до оконного проема (остекленной двери) или не менее 1,6 метра</w:t>
      </w:r>
      <w:r>
        <w:t xml:space="preserve"> между остекленными проемами, выходящими на балкон (лоджию);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выход должен вести на переход шириной не менее 0,6 метра, ведущий в смежную часть здания;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выход должен вести на балкон или лоджию, оборудованные наружной лестницей, поэтажно соединяющей балко</w:t>
      </w:r>
      <w:r>
        <w:t>ны или лоджии.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 xml:space="preserve">6.7.25. Степень огнестойкости гостиниц, домов отдыха общего типа, кемпингов, мотелей и пансионатов высотой более двух этажей должна быть не ниже III, класс конструктивной пожарной </w:t>
      </w:r>
      <w:r>
        <w:lastRenderedPageBreak/>
        <w:t>опасности С0.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Спальные помещения, предназначенные для размеще</w:t>
      </w:r>
      <w:r>
        <w:t>ния семей с детьми в домах отдыха общего типа, кемпингах, мотелях и пансионатах, следует размещать в отдельных зданиях или отдельных частях зданий, выделенных противопожарными перегородками I типа, высотой не более шести этажей, имеющих изолированные от др</w:t>
      </w:r>
      <w:r>
        <w:t>угих частей зданий эвакуационные выходы. При этом спальные помещения должны иметь аварийный выход, соответствующий одному из следующих требований: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выход должен вести на балкон или лоджию с глухим простенком не менее 1,2 метра от торца балкона (лоджии) до</w:t>
      </w:r>
      <w:r>
        <w:t xml:space="preserve"> оконного проема (остекленной двери) или не менее 1,6 метра между остекленными проемами, выходящими на балкон (лоджию);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выход должен вести на переход шириной не менее 0,6 метра, ведущий в смежную часть здания;</w:t>
      </w:r>
    </w:p>
    <w:p w:rsidR="00000000" w:rsidRDefault="00B56B3B">
      <w:pPr>
        <w:pStyle w:val="ConsPlusNormal"/>
        <w:spacing w:before="240"/>
        <w:ind w:firstLine="540"/>
        <w:jc w:val="both"/>
      </w:pPr>
      <w:r>
        <w:t>- выход должен вести на балкон или лоджию, о</w:t>
      </w:r>
      <w:r>
        <w:t>борудованные наружной лестницей, поэтажно соединяющей балконы или лоджии.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B56B3B">
      <w:pPr>
        <w:pStyle w:val="ConsPlusNonformat"/>
        <w:jc w:val="both"/>
      </w:pPr>
      <w:r>
        <w:t>УДК 614.841.332:006.354                              ОКС 13.220.50</w:t>
      </w:r>
    </w:p>
    <w:p w:rsidR="00000000" w:rsidRDefault="00B56B3B">
      <w:pPr>
        <w:pStyle w:val="ConsPlusNonformat"/>
        <w:jc w:val="both"/>
      </w:pPr>
    </w:p>
    <w:p w:rsidR="00000000" w:rsidRDefault="00B56B3B">
      <w:pPr>
        <w:pStyle w:val="ConsPlusNonformat"/>
        <w:jc w:val="both"/>
      </w:pPr>
      <w:r>
        <w:t>Ключевые слова:  степень  огнестойкос</w:t>
      </w:r>
      <w:r>
        <w:t>ти,  класс   конструктивной   пожарной</w:t>
      </w:r>
    </w:p>
    <w:p w:rsidR="00000000" w:rsidRDefault="00B56B3B">
      <w:pPr>
        <w:pStyle w:val="ConsPlusNonformat"/>
        <w:jc w:val="both"/>
      </w:pPr>
      <w:r>
        <w:t>опасности,   огнестойкость   строительных    конструкций,   противопожарные</w:t>
      </w:r>
    </w:p>
    <w:p w:rsidR="00000000" w:rsidRDefault="00B56B3B">
      <w:pPr>
        <w:pStyle w:val="ConsPlusNonformat"/>
        <w:jc w:val="both"/>
      </w:pPr>
      <w:r>
        <w:t>преграды, предел огнестойкости, пожарный отсек</w:t>
      </w:r>
    </w:p>
    <w:p w:rsidR="00000000" w:rsidRDefault="00B56B3B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B56B3B">
      <w:pPr>
        <w:pStyle w:val="ConsPlusNormal"/>
        <w:jc w:val="both"/>
      </w:pPr>
    </w:p>
    <w:p w:rsidR="00000000" w:rsidRDefault="00B56B3B">
      <w:pPr>
        <w:pStyle w:val="ConsPlusNormal"/>
        <w:jc w:val="right"/>
      </w:pPr>
      <w:r>
        <w:t>Руководитель организации-разработчика</w:t>
      </w:r>
    </w:p>
    <w:p w:rsidR="00000000" w:rsidRDefault="00B56B3B">
      <w:pPr>
        <w:pStyle w:val="ConsPlusNormal"/>
        <w:jc w:val="right"/>
      </w:pPr>
    </w:p>
    <w:p w:rsidR="00000000" w:rsidRDefault="00B56B3B">
      <w:pPr>
        <w:pStyle w:val="ConsPlusNormal"/>
        <w:jc w:val="right"/>
      </w:pPr>
      <w:r>
        <w:t>Заместитель начальника</w:t>
      </w:r>
    </w:p>
    <w:p w:rsidR="00000000" w:rsidRDefault="00B56B3B">
      <w:pPr>
        <w:pStyle w:val="ConsPlusNormal"/>
        <w:jc w:val="right"/>
      </w:pPr>
      <w:r>
        <w:t>ФГБУ ВНИИПО МЧС России</w:t>
      </w:r>
    </w:p>
    <w:p w:rsidR="00000000" w:rsidRDefault="00B56B3B">
      <w:pPr>
        <w:pStyle w:val="ConsPlusNormal"/>
        <w:jc w:val="right"/>
      </w:pPr>
      <w:r>
        <w:t>И.Р.ХАСАНОВ</w:t>
      </w:r>
    </w:p>
    <w:p w:rsidR="00000000" w:rsidRDefault="00B56B3B">
      <w:pPr>
        <w:pStyle w:val="ConsPlusNormal"/>
        <w:jc w:val="right"/>
      </w:pPr>
    </w:p>
    <w:p w:rsidR="00000000" w:rsidRDefault="00B56B3B">
      <w:pPr>
        <w:pStyle w:val="ConsPlusNormal"/>
        <w:jc w:val="right"/>
      </w:pPr>
      <w:r>
        <w:t>Руководители темы</w:t>
      </w:r>
    </w:p>
    <w:p w:rsidR="00000000" w:rsidRDefault="00B56B3B">
      <w:pPr>
        <w:pStyle w:val="ConsPlusNormal"/>
        <w:jc w:val="right"/>
      </w:pPr>
    </w:p>
    <w:p w:rsidR="00000000" w:rsidRDefault="00B56B3B">
      <w:pPr>
        <w:pStyle w:val="ConsPlusNormal"/>
        <w:jc w:val="right"/>
      </w:pPr>
      <w:r>
        <w:t>Начальник отдела 3.2</w:t>
      </w:r>
    </w:p>
    <w:p w:rsidR="00000000" w:rsidRDefault="00B56B3B">
      <w:pPr>
        <w:pStyle w:val="ConsPlusNormal"/>
        <w:jc w:val="right"/>
      </w:pPr>
      <w:r>
        <w:t>А.А.КОСАЧЕВ</w:t>
      </w:r>
    </w:p>
    <w:p w:rsidR="00000000" w:rsidRDefault="00B56B3B">
      <w:pPr>
        <w:pStyle w:val="ConsPlusNormal"/>
        <w:jc w:val="right"/>
      </w:pPr>
    </w:p>
    <w:p w:rsidR="00000000" w:rsidRDefault="00B56B3B">
      <w:pPr>
        <w:pStyle w:val="ConsPlusNormal"/>
        <w:jc w:val="right"/>
      </w:pPr>
      <w:r>
        <w:t>Ведущий</w:t>
      </w:r>
    </w:p>
    <w:p w:rsidR="00000000" w:rsidRDefault="00B56B3B">
      <w:pPr>
        <w:pStyle w:val="ConsPlusNormal"/>
        <w:jc w:val="right"/>
      </w:pPr>
      <w:r>
        <w:t>научный сотрудник отдела 3.2</w:t>
      </w:r>
    </w:p>
    <w:p w:rsidR="00000000" w:rsidRDefault="00B56B3B">
      <w:pPr>
        <w:pStyle w:val="ConsPlusNormal"/>
        <w:jc w:val="right"/>
      </w:pPr>
      <w:r>
        <w:t>А.В.ГОМОЗОВ</w:t>
      </w:r>
    </w:p>
    <w:p w:rsidR="00000000" w:rsidRDefault="00B56B3B">
      <w:pPr>
        <w:pStyle w:val="ConsPlusNormal"/>
        <w:jc w:val="right"/>
      </w:pPr>
    </w:p>
    <w:p w:rsidR="00000000" w:rsidRDefault="00B56B3B">
      <w:pPr>
        <w:pStyle w:val="ConsPlusNormal"/>
        <w:jc w:val="right"/>
      </w:pPr>
      <w:r>
        <w:t>Исполнители</w:t>
      </w:r>
    </w:p>
    <w:p w:rsidR="00000000" w:rsidRDefault="00B56B3B">
      <w:pPr>
        <w:pStyle w:val="ConsPlusNormal"/>
        <w:jc w:val="right"/>
      </w:pPr>
    </w:p>
    <w:p w:rsidR="00000000" w:rsidRDefault="00B56B3B">
      <w:pPr>
        <w:pStyle w:val="ConsPlusNormal"/>
        <w:jc w:val="right"/>
      </w:pPr>
      <w:r>
        <w:t>Заместитель начальника отдела 3.2</w:t>
      </w:r>
    </w:p>
    <w:p w:rsidR="00000000" w:rsidRDefault="00B56B3B">
      <w:pPr>
        <w:pStyle w:val="ConsPlusNormal"/>
        <w:jc w:val="right"/>
      </w:pPr>
      <w:r>
        <w:t>А.В.ПЕХО</w:t>
      </w:r>
      <w:r>
        <w:t>ТИКОВ</w:t>
      </w:r>
    </w:p>
    <w:p w:rsidR="00000000" w:rsidRDefault="00B56B3B">
      <w:pPr>
        <w:pStyle w:val="ConsPlusNormal"/>
        <w:jc w:val="right"/>
      </w:pPr>
    </w:p>
    <w:p w:rsidR="00000000" w:rsidRDefault="00B56B3B">
      <w:pPr>
        <w:pStyle w:val="ConsPlusNormal"/>
        <w:jc w:val="right"/>
      </w:pPr>
      <w:r>
        <w:t>Заместитель начальника отдела 3.2</w:t>
      </w:r>
    </w:p>
    <w:p w:rsidR="00000000" w:rsidRDefault="00B56B3B">
      <w:pPr>
        <w:pStyle w:val="ConsPlusNormal"/>
        <w:jc w:val="right"/>
      </w:pPr>
      <w:r>
        <w:t>К.Н.ГОЛЬЦОВ</w:t>
      </w:r>
    </w:p>
    <w:p w:rsidR="00000000" w:rsidRDefault="00B56B3B">
      <w:pPr>
        <w:pStyle w:val="ConsPlusNormal"/>
        <w:jc w:val="right"/>
      </w:pPr>
    </w:p>
    <w:p w:rsidR="00000000" w:rsidRDefault="00B56B3B">
      <w:pPr>
        <w:pStyle w:val="ConsPlusNormal"/>
        <w:jc w:val="right"/>
      </w:pPr>
      <w:r>
        <w:t>Начальник сектора отдела 3.2</w:t>
      </w:r>
    </w:p>
    <w:p w:rsidR="00000000" w:rsidRDefault="00B56B3B">
      <w:pPr>
        <w:pStyle w:val="ConsPlusNormal"/>
        <w:jc w:val="right"/>
      </w:pPr>
      <w:r>
        <w:t>С.Т.ЛЕЖНЕВ</w:t>
      </w:r>
    </w:p>
    <w:p w:rsidR="00000000" w:rsidRDefault="00B56B3B">
      <w:pPr>
        <w:pStyle w:val="ConsPlusNormal"/>
        <w:ind w:firstLine="540"/>
        <w:jc w:val="both"/>
      </w:pPr>
    </w:p>
    <w:p w:rsidR="00000000" w:rsidRDefault="00B56B3B">
      <w:pPr>
        <w:pStyle w:val="ConsPlusNormal"/>
        <w:ind w:firstLine="540"/>
        <w:jc w:val="both"/>
      </w:pPr>
    </w:p>
    <w:p w:rsidR="00B56B3B" w:rsidRDefault="00B56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6B3B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3B" w:rsidRDefault="00B56B3B">
      <w:pPr>
        <w:spacing w:after="0" w:line="240" w:lineRule="auto"/>
      </w:pPr>
      <w:r>
        <w:separator/>
      </w:r>
    </w:p>
  </w:endnote>
  <w:endnote w:type="continuationSeparator" w:id="0">
    <w:p w:rsidR="00B56B3B" w:rsidRDefault="00B5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B3B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B3B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B3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B3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B3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B3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B3B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B3B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B3B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B3B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E41">
            <w:rPr>
              <w:sz w:val="20"/>
              <w:szCs w:val="20"/>
            </w:rPr>
            <w:fldChar w:fldCharType="separate"/>
          </w:r>
          <w:r w:rsidR="009B7E41"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B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3B" w:rsidRDefault="00B56B3B">
      <w:pPr>
        <w:spacing w:after="0" w:line="240" w:lineRule="auto"/>
      </w:pPr>
      <w:r>
        <w:separator/>
      </w:r>
    </w:p>
  </w:footnote>
  <w:footnote w:type="continuationSeparator" w:id="0">
    <w:p w:rsidR="00B56B3B" w:rsidRDefault="00B5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21.11.2012 N 693</w:t>
          </w:r>
          <w:r>
            <w:rPr>
              <w:sz w:val="16"/>
              <w:szCs w:val="16"/>
            </w:rPr>
            <w:br/>
            <w:t>(ред. от 23.10.2013)</w:t>
          </w:r>
          <w:r>
            <w:rPr>
              <w:sz w:val="16"/>
              <w:szCs w:val="16"/>
            </w:rPr>
            <w:br/>
            <w:t xml:space="preserve">"Об утверждении свода правил </w:t>
          </w:r>
          <w:r>
            <w:rPr>
              <w:sz w:val="16"/>
              <w:szCs w:val="16"/>
            </w:rPr>
            <w:t>"Системы противопожарной защиты....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</w:pPr>
        </w:p>
        <w:p w:rsidR="00000000" w:rsidRDefault="00B56B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B3B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21.11.2012 N 693</w:t>
          </w:r>
          <w:r>
            <w:rPr>
              <w:sz w:val="16"/>
              <w:szCs w:val="16"/>
            </w:rPr>
            <w:br/>
            <w:t>(ред. от 23.10.2013)</w:t>
          </w:r>
          <w:r>
            <w:rPr>
              <w:sz w:val="16"/>
              <w:szCs w:val="16"/>
            </w:rPr>
            <w:br/>
            <w:t>"Об утверждении свода правил "Системы противопожарной защиты....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</w:pPr>
        </w:p>
        <w:p w:rsidR="00000000" w:rsidRDefault="00B56B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</w:t>
          </w:r>
          <w:r>
            <w:rPr>
              <w:sz w:val="16"/>
              <w:szCs w:val="16"/>
            </w:rPr>
            <w:t>хранения: 24.02.2020</w:t>
          </w:r>
        </w:p>
      </w:tc>
    </w:tr>
  </w:tbl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B3B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21.11.2012 N 693</w:t>
          </w:r>
          <w:r>
            <w:rPr>
              <w:sz w:val="16"/>
              <w:szCs w:val="16"/>
            </w:rPr>
            <w:br/>
            <w:t>(ред. от 23.10.2013)</w:t>
          </w:r>
          <w:r>
            <w:rPr>
              <w:sz w:val="16"/>
              <w:szCs w:val="16"/>
            </w:rPr>
            <w:br/>
            <w:t>"О</w:t>
          </w:r>
          <w:r>
            <w:rPr>
              <w:sz w:val="16"/>
              <w:szCs w:val="16"/>
            </w:rPr>
            <w:t>б утверждении свода правил "Системы противопожарной защиты....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</w:pPr>
        </w:p>
        <w:p w:rsidR="00000000" w:rsidRDefault="00B56B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B3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</w:t>
          </w:r>
          <w:r>
            <w:rPr>
              <w:sz w:val="16"/>
              <w:szCs w:val="16"/>
            </w:rPr>
            <w:t>каз МЧС России от 21.11.2012 N 693</w:t>
          </w:r>
          <w:r>
            <w:rPr>
              <w:sz w:val="16"/>
              <w:szCs w:val="16"/>
            </w:rPr>
            <w:br/>
            <w:t>(ред. от 23.10.2013)</w:t>
          </w:r>
          <w:r>
            <w:rPr>
              <w:sz w:val="16"/>
              <w:szCs w:val="16"/>
            </w:rPr>
            <w:br/>
            <w:t>"Об утверждении свода правил "Системы противопожарной защиты....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</w:pPr>
        </w:p>
        <w:p w:rsidR="00000000" w:rsidRDefault="00B56B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B3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21.11.2012 N 693</w:t>
          </w:r>
          <w:r>
            <w:rPr>
              <w:sz w:val="16"/>
              <w:szCs w:val="16"/>
            </w:rPr>
            <w:br/>
            <w:t>(ред. от 23.10.2013)</w:t>
          </w:r>
          <w:r>
            <w:rPr>
              <w:sz w:val="16"/>
              <w:szCs w:val="16"/>
            </w:rPr>
            <w:br/>
            <w:t>"Об утверждении свода правил "Системы противопожарной защиты....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</w:pPr>
        </w:p>
        <w:p w:rsidR="00000000" w:rsidRDefault="00B56B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B3B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21.11.2012 N 693</w:t>
          </w:r>
          <w:r>
            <w:rPr>
              <w:sz w:val="16"/>
              <w:szCs w:val="16"/>
            </w:rPr>
            <w:br/>
            <w:t>(ред. от 23.10.2013)</w:t>
          </w:r>
          <w:r>
            <w:rPr>
              <w:sz w:val="16"/>
              <w:szCs w:val="16"/>
            </w:rPr>
            <w:br/>
            <w:t>"Об утверждении свода правил "Системы противопожарной защиты....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</w:pPr>
        </w:p>
        <w:p w:rsidR="00000000" w:rsidRDefault="00B56B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</w:t>
            </w:r>
            <w:r>
              <w:rPr>
                <w:color w:val="0000FF"/>
                <w:sz w:val="18"/>
                <w:szCs w:val="18"/>
              </w:rPr>
              <w:t>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B3B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21.11.2012 N 693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23.10.2013)</w:t>
          </w:r>
          <w:r>
            <w:rPr>
              <w:sz w:val="16"/>
              <w:szCs w:val="16"/>
            </w:rPr>
            <w:br/>
            <w:t>"Об утверждении свода правил "Системы противопожарной защиты....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</w:pPr>
        </w:p>
        <w:p w:rsidR="00000000" w:rsidRDefault="00B56B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B3B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21.11.2012 N 693</w:t>
          </w:r>
          <w:r>
            <w:rPr>
              <w:sz w:val="16"/>
              <w:szCs w:val="16"/>
            </w:rPr>
            <w:br/>
            <w:t>(ред. от 23.10.2013)</w:t>
          </w:r>
          <w:r>
            <w:rPr>
              <w:sz w:val="16"/>
              <w:szCs w:val="16"/>
            </w:rPr>
            <w:br/>
            <w:t>"Об утверждении свода правил "Системы противопожарной защиты....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</w:pPr>
        </w:p>
        <w:p w:rsidR="00000000" w:rsidRDefault="00B56B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B3B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21.11.2012 N 693</w:t>
          </w:r>
          <w:r>
            <w:rPr>
              <w:sz w:val="16"/>
              <w:szCs w:val="16"/>
            </w:rPr>
            <w:br/>
            <w:t>(ред. от 23.10.2013)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свода правил "Системы противопожарной защиты....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</w:pPr>
        </w:p>
        <w:p w:rsidR="00000000" w:rsidRDefault="00B56B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B3B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21.11.2012 N 693</w:t>
          </w:r>
          <w:r>
            <w:rPr>
              <w:sz w:val="16"/>
              <w:szCs w:val="16"/>
            </w:rPr>
            <w:br/>
            <w:t>(ред. от 23.10.2013)</w:t>
          </w:r>
          <w:r>
            <w:rPr>
              <w:sz w:val="16"/>
              <w:szCs w:val="16"/>
            </w:rPr>
            <w:br/>
            <w:t>"Об утверждении свода правил "Системы противопожарной защиты....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</w:pPr>
        </w:p>
        <w:p w:rsidR="00000000" w:rsidRDefault="00B56B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B3B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России от 21.11.2012 N 693</w:t>
          </w:r>
          <w:r>
            <w:rPr>
              <w:sz w:val="16"/>
              <w:szCs w:val="16"/>
            </w:rPr>
            <w:br/>
            <w:t>(ред. от 23.10.2013)</w:t>
          </w:r>
          <w:r>
            <w:rPr>
              <w:sz w:val="16"/>
              <w:szCs w:val="16"/>
            </w:rPr>
            <w:br/>
            <w:t>"Об утверждении свода правил "Системы противопожарной защиты....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center"/>
          </w:pPr>
        </w:p>
        <w:p w:rsidR="00000000" w:rsidRDefault="00B56B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B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24.02.2020</w:t>
          </w:r>
        </w:p>
      </w:tc>
    </w:tr>
  </w:tbl>
  <w:p w:rsidR="00000000" w:rsidRDefault="00B56B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B3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41"/>
    <w:rsid w:val="009B7E41"/>
    <w:rsid w:val="00B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EEA5F8-7159-4AA1-B46B-863553CF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13020</Words>
  <Characters>74218</Characters>
  <Application>Microsoft Office Word</Application>
  <DocSecurity>2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России от 21.11.2012 N 693(ред. от 23.10.2013)"Об утверждении свода правил "Системы противопожарной защиты. Обеспечение огнестойкости объектов защиты"(вместе с "СП 2.13130.2012. Свод правил...")</vt:lpstr>
    </vt:vector>
  </TitlesOfParts>
  <Company>КонсультантПлюс Версия 4018.00.50</Company>
  <LinksUpToDate>false</LinksUpToDate>
  <CharactersWithSpaces>87064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21.11.2012 N 693(ред. от 23.10.2013)"Об утверждении свода правил "Системы противопожарной защиты. Обеспечение огнестойкости объектов защиты"(вместе с "СП 2.13130.2012. Свод правил...")</dc:title>
  <dc:subject/>
  <dc:creator>R2D2</dc:creator>
  <cp:keywords/>
  <dc:description/>
  <cp:lastModifiedBy>R2D2</cp:lastModifiedBy>
  <cp:revision>2</cp:revision>
  <dcterms:created xsi:type="dcterms:W3CDTF">2020-02-24T02:57:00Z</dcterms:created>
  <dcterms:modified xsi:type="dcterms:W3CDTF">2020-02-24T02:57:00Z</dcterms:modified>
</cp:coreProperties>
</file>